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024"/>
        <w:gridCol w:w="697"/>
        <w:gridCol w:w="1156"/>
        <w:gridCol w:w="1026"/>
        <w:gridCol w:w="966"/>
      </w:tblGrid>
      <w:tr w:rsidR="00C60139" w:rsidRPr="001937BB" w14:paraId="15458273" w14:textId="146861BA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2E77764C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0216F4" w14:textId="595786E0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Outstanding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14:paraId="43376435" w14:textId="0D87EFAF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Strong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14:paraId="3F0C2FBA" w14:textId="77777777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Approaching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14:paraId="518FD0AE" w14:textId="34CD3780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79E82D" w14:textId="002EE6CC" w:rsidR="00C60139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Beginning</w:t>
            </w:r>
          </w:p>
        </w:tc>
      </w:tr>
      <w:tr w:rsidR="00C60139" w:rsidRPr="001937BB" w14:paraId="68371D35" w14:textId="76CCC463" w:rsidTr="00C60139">
        <w:trPr>
          <w:cantSplit/>
          <w:trHeight w:val="2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AA2416" w14:textId="77777777" w:rsidR="00C60139" w:rsidRPr="001937BB" w:rsidRDefault="00C60139" w:rsidP="001937B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1937BB">
              <w:rPr>
                <w:rFonts w:ascii="Times New Roman" w:hAnsi="Times New Roman"/>
                <w:sz w:val="18"/>
                <w:szCs w:val="18"/>
              </w:rPr>
              <w:t>OUTCOME ONE: RHETORICAL AWARENESS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96F317" w14:textId="77777777" w:rsidR="00C60139" w:rsidRPr="001937BB" w:rsidRDefault="00C60139" w:rsidP="001937B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9" w:rsidRPr="001937BB" w14:paraId="56E7030B" w14:textId="41F88D33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D13F9B" w14:textId="77777777" w:rsidR="009307EB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Writing employs style, tone, and conventions appropriate to the purpose of the paper</w:t>
            </w:r>
            <w:r w:rsidR="009307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5686375" w14:textId="4C1F719A" w:rsidR="005753F8" w:rsidRPr="00DC067A" w:rsidRDefault="005753F8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professional—formal, focused, persuasive, but still personal—you’re writing to a person. Clearly formatted as a letter—doesn’t read as an essay.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BC33E1" w14:textId="1625A7CE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1F174E" w14:textId="7A8F9641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CDD9A3" w14:textId="7D64C216" w:rsidR="00C60139" w:rsidRPr="00DB0016" w:rsidRDefault="00C60139" w:rsidP="001937BB">
            <w:pPr>
              <w:pStyle w:val="Heading1"/>
              <w:rPr>
                <w:rFonts w:ascii="Times New Roman" w:hAnsi="Times New Roman"/>
                <w:b w:val="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2314F0" w14:textId="77777777" w:rsidR="00C60139" w:rsidRPr="004B71AA" w:rsidRDefault="00C60139" w:rsidP="001937BB">
            <w:pPr>
              <w:pStyle w:val="Heading1"/>
              <w:rPr>
                <w:rFonts w:ascii="Times New Roman" w:hAnsi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12E" w14:textId="77777777" w:rsidR="00C60139" w:rsidRPr="004B71AA" w:rsidRDefault="00C60139" w:rsidP="001937BB">
            <w:pPr>
              <w:pStyle w:val="Heading1"/>
              <w:rPr>
                <w:rFonts w:ascii="Times New Roman" w:hAnsi="Times New Roman"/>
                <w:b w:val="0"/>
              </w:rPr>
            </w:pPr>
          </w:p>
        </w:tc>
      </w:tr>
      <w:tr w:rsidR="00C60139" w:rsidRPr="001937BB" w14:paraId="09F4F111" w14:textId="7CF8F1E0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31390" w14:textId="77777777" w:rsidR="00655901" w:rsidRDefault="00C60139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Writing shows clear understanding of audience, and various aspects of the writing (structure, appeals, tone, sentences, and word choice) address and are strategically pitched to that audience</w:t>
            </w:r>
            <w:r w:rsidR="006559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76C9E40" w14:textId="4515BC0D" w:rsidR="005753F8" w:rsidRPr="00DC067A" w:rsidRDefault="005753F8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clear audience is chosen and taken into consideration. The writer considers the amount of context their audience needs, what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subclaims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 be the most persuasive, and what word choice to use. The writer also considers the audience of the adaptation when describing or explaining 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FFF49D" w14:textId="37C0872C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57EC26" w14:textId="4B6638F4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DF146F" w14:textId="4594ED69" w:rsidR="00C60139" w:rsidRPr="00CE41C8" w:rsidRDefault="00C60139" w:rsidP="00CE4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E540D5" w14:textId="77777777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B6D" w14:textId="77777777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60139" w:rsidRPr="001937BB" w14:paraId="3A48212B" w14:textId="1C7D2AF2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0272AA" w14:textId="77777777" w:rsidR="00655901" w:rsidRDefault="00C60139" w:rsidP="0016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The effects of writing choices are clearly articulated and accurately assessed</w:t>
            </w:r>
            <w:r w:rsidR="006559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D0C9CF" w14:textId="4335ED01" w:rsidR="00655901" w:rsidRPr="00655901" w:rsidRDefault="005753F8" w:rsidP="0016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artifacts are referenced in the pitch letter, and it’s broken down to explain the rhetorical effectiveness of the artifact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DAB942" w14:textId="60499E63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01CF26" w14:textId="36145886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74CB28" w14:textId="43F713FD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A29C04" w14:textId="77777777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39E" w14:textId="77777777" w:rsidR="00C60139" w:rsidRPr="001937BB" w:rsidRDefault="00C60139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60139" w:rsidRPr="001937BB" w14:paraId="6C64D506" w14:textId="60C595BC" w:rsidTr="00C60139">
        <w:trPr>
          <w:cantSplit/>
          <w:trHeight w:val="2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2D2EAE" w14:textId="77777777" w:rsidR="00C60139" w:rsidRPr="001937BB" w:rsidRDefault="00C60139" w:rsidP="001937B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1937BB">
              <w:rPr>
                <w:rFonts w:ascii="Times New Roman" w:hAnsi="Times New Roman"/>
                <w:sz w:val="18"/>
                <w:szCs w:val="18"/>
              </w:rPr>
              <w:t>OUTCOME TWO: EVIDENCE AND USE OF TEXTS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0E3620" w14:textId="77777777" w:rsidR="00C60139" w:rsidRPr="001937BB" w:rsidRDefault="00C60139" w:rsidP="001937B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9" w:rsidRPr="001937BB" w14:paraId="4FF342F6" w14:textId="173F2186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F11155" w14:textId="7A25C582" w:rsidR="00C60139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 xml:space="preserve">Writing demonstrates a sophisticated understanding of </w:t>
            </w:r>
            <w:r w:rsidR="00655901">
              <w:rPr>
                <w:rFonts w:ascii="Times New Roman" w:hAnsi="Times New Roman" w:cs="Times New Roman"/>
                <w:sz w:val="20"/>
                <w:szCs w:val="20"/>
              </w:rPr>
              <w:t xml:space="preserve">outside </w:t>
            </w: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source texts</w:t>
            </w:r>
            <w:r w:rsidR="006559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34D4548" w14:textId="1A46674E" w:rsidR="00655901" w:rsidRPr="00DC067A" w:rsidRDefault="005753F8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writer clearly understands the content of the sources.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67CFF7" w14:textId="14BDC059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A23DD4" w14:textId="1A394C7A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2AB4AC" w14:textId="07467C1F" w:rsidR="00C60139" w:rsidRPr="00815D6C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620F56" w14:textId="77777777" w:rsidR="00C60139" w:rsidRPr="003F2E3C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87C" w14:textId="77777777" w:rsidR="00C60139" w:rsidRPr="003F2E3C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39" w:rsidRPr="001937BB" w14:paraId="70F9F138" w14:textId="517EFFD6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FF4023" w14:textId="6A0B7A27" w:rsidR="00C60139" w:rsidRDefault="00655901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60139" w:rsidRPr="00DC067A">
              <w:rPr>
                <w:rFonts w:ascii="Times New Roman" w:hAnsi="Times New Roman" w:cs="Times New Roman"/>
                <w:sz w:val="20"/>
                <w:szCs w:val="20"/>
              </w:rPr>
              <w:t>exts are used in strategic, focused ways (for example: summarized, cited, applied, challenged, re-contextualized) to support the goals of the writing</w:t>
            </w:r>
          </w:p>
          <w:p w14:paraId="425CC6B6" w14:textId="2781D589" w:rsidR="00655901" w:rsidRPr="00DC067A" w:rsidRDefault="00655901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400ACE" w14:textId="11F0B7EA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EB871C" w14:textId="31B1337C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AB03D4" w14:textId="7F6CDFAC" w:rsidR="00C60139" w:rsidRPr="00F374FC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BEC0DF" w14:textId="623877E1" w:rsidR="00C60139" w:rsidRPr="007825FF" w:rsidRDefault="00C60139" w:rsidP="00193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913" w14:textId="77777777" w:rsidR="00C60139" w:rsidRPr="007825FF" w:rsidRDefault="00C60139" w:rsidP="00193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139" w:rsidRPr="001937BB" w14:paraId="1E33F912" w14:textId="26E229B2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B5490" w14:textId="5282A963" w:rsidR="00655901" w:rsidRDefault="00C60139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The writing is intertextual, meaning that a “conversation” between texts and ideas is created in support of the writer’s goals</w:t>
            </w:r>
            <w:r w:rsidR="006559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CADE6B8" w14:textId="084219C3" w:rsidR="00655901" w:rsidRDefault="005753F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Sources are integrated into the paper naturally and they bolster the persuasiveness of the paper.</w:t>
            </w:r>
          </w:p>
          <w:p w14:paraId="3FA7D2C0" w14:textId="394EC55F" w:rsidR="00655901" w:rsidRPr="00DC067A" w:rsidRDefault="00655901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4CEEB0" w14:textId="3C54D8AC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6D8EBC" w14:textId="0437938C" w:rsidR="00C60139" w:rsidRPr="00780EF7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099000" w14:textId="2BFF625A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E61157" w14:textId="1D179016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98E" w14:textId="77777777" w:rsidR="00C60139" w:rsidRDefault="00C60139" w:rsidP="001937BB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C60139" w:rsidRPr="001937BB" w14:paraId="4E37F30F" w14:textId="6CEC48E5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E6DF6F" w14:textId="48CC8B5E" w:rsidR="00C60139" w:rsidRPr="009B4968" w:rsidRDefault="00C60139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EF2">
              <w:rPr>
                <w:rFonts w:ascii="Times New Roman" w:hAnsi="Times New Roman" w:cs="Times New Roman"/>
                <w:sz w:val="20"/>
                <w:szCs w:val="20"/>
              </w:rPr>
              <w:t>Multiple types of evidence gathered from various sources are used appropriately to support the writing goals</w:t>
            </w:r>
            <w:r w:rsidR="006559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53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53F8">
              <w:rPr>
                <w:rFonts w:ascii="Times New Roman" w:hAnsi="Times New Roman" w:cs="Times New Roman"/>
                <w:sz w:val="20"/>
                <w:szCs w:val="20"/>
              </w:rPr>
              <w:br/>
              <w:t>Three to five reliable outside sources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16927F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FEDE8F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AD1EA5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7D5BCE" w14:textId="77777777" w:rsidR="00C60139" w:rsidRPr="0095447C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101" w14:textId="77777777" w:rsidR="00C60139" w:rsidRPr="0095447C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39" w:rsidRPr="001937BB" w14:paraId="32654B24" w14:textId="2EBCF7ED" w:rsidTr="00C60139">
        <w:trPr>
          <w:cantSplit/>
          <w:trHeight w:val="2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745ECA" w14:textId="0E70E2F2" w:rsidR="00C60139" w:rsidRPr="001937BB" w:rsidRDefault="00C60139" w:rsidP="001937B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1937BB">
              <w:rPr>
                <w:rFonts w:ascii="Times New Roman" w:hAnsi="Times New Roman"/>
                <w:sz w:val="18"/>
                <w:szCs w:val="18"/>
              </w:rPr>
              <w:t>OUTCOME 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HREE: CLAIMS AND ARGUMENTATION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FFA4B" w14:textId="77777777" w:rsidR="00C60139" w:rsidRPr="001937BB" w:rsidRDefault="00C60139" w:rsidP="001937B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9" w:rsidRPr="001937BB" w14:paraId="2C3FD0E8" w14:textId="22B1D5C1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008329" w14:textId="74313524" w:rsidR="00C60139" w:rsidRPr="00DC067A" w:rsidRDefault="00C60139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 xml:space="preserve">The argument </w:t>
            </w:r>
            <w:r w:rsidR="00655901">
              <w:rPr>
                <w:rFonts w:ascii="Times New Roman" w:hAnsi="Times New Roman" w:cs="Times New Roman"/>
                <w:sz w:val="20"/>
                <w:szCs w:val="20"/>
              </w:rPr>
              <w:t>(that the recipient of the pitch letter should finance or make this adaptation) is clearly stated and consistent throughout the letter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B4A8FD" w14:textId="6990EAF4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C3DDBC" w14:textId="4264170E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1E3776" w14:textId="64EAC1BE" w:rsidR="00C60139" w:rsidRPr="00C07420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426C41" w14:textId="296B3DCB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2408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139" w:rsidRPr="001937BB" w14:paraId="4C5F6952" w14:textId="1F0D155C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4E1047" w14:textId="77777777" w:rsidR="00655901" w:rsidRDefault="00C60139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The stakes of the argument, why what is being argued matters, are evident</w:t>
            </w:r>
            <w:r w:rsidR="006559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3E1F36" w14:textId="01A2420D" w:rsidR="005753F8" w:rsidRPr="00DC067A" w:rsidRDefault="005753F8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Why does this adaptation matter,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message? Why should this be made? What’s at stake for the audience of the adaptation AND the audience of the pitch letter?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4026AC" w14:textId="566DC28F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1855F8" w14:textId="416B4B6F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A701DC" w14:textId="6A47A186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FF0494" w14:textId="02E6A23D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4B7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139" w:rsidRPr="001937BB" w14:paraId="2156C491" w14:textId="18026676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57922F" w14:textId="555A09C7" w:rsidR="00C60139" w:rsidRDefault="00C60139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 argument involves analysis, which is the </w:t>
            </w:r>
            <w:proofErr w:type="gramStart"/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close scrutiny</w:t>
            </w:r>
            <w:proofErr w:type="gramEnd"/>
            <w:r w:rsidRPr="00DC067A">
              <w:rPr>
                <w:rFonts w:ascii="Times New Roman" w:hAnsi="Times New Roman" w:cs="Times New Roman"/>
                <w:sz w:val="20"/>
                <w:szCs w:val="20"/>
              </w:rPr>
              <w:t xml:space="preserve"> and examination of evidence and assumptions in support of a larger set of ideas</w:t>
            </w:r>
            <w:r w:rsidR="006559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35E870" w14:textId="01230608" w:rsidR="005753F8" w:rsidRDefault="005753F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AFF67" w14:textId="4EA0168B" w:rsidR="005753F8" w:rsidRDefault="005753F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Sources are used, commentary/analysis on the original text is integrated into the pitch letter</w:t>
            </w:r>
          </w:p>
          <w:p w14:paraId="03585A8A" w14:textId="7BCD216E" w:rsidR="00655901" w:rsidRPr="00DC067A" w:rsidRDefault="00655901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961B40" w14:textId="42ACF0B0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A04C26" w14:textId="50234C59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964F34" w14:textId="4645E81E" w:rsidR="00C60139" w:rsidRPr="00F374FC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697268" w14:textId="16857D34" w:rsidR="00C60139" w:rsidRPr="0095447C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883" w14:textId="77777777" w:rsidR="00C60139" w:rsidRPr="0095447C" w:rsidRDefault="00C60139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39" w:rsidRPr="001937BB" w14:paraId="27F38D72" w14:textId="3219038C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D75185" w14:textId="62F80DCF" w:rsidR="00C60139" w:rsidRDefault="00C60139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The argument takes into consideration counterclaims and multiple points of view as it generates its own perspective and position</w:t>
            </w:r>
            <w:r w:rsidR="006559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136BB7A" w14:textId="6E8DA1B1" w:rsidR="00655901" w:rsidRDefault="00655901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10347" w14:textId="0041B2EA" w:rsidR="005753F8" w:rsidRDefault="005753F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would naysayers say? How could you respond?</w:t>
            </w:r>
            <w:bookmarkStart w:id="0" w:name="_GoBack"/>
            <w:bookmarkEnd w:id="0"/>
          </w:p>
          <w:p w14:paraId="18BFBEC7" w14:textId="078869A8" w:rsidR="00655901" w:rsidRPr="00DC067A" w:rsidRDefault="00655901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069271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2CAABB" w14:textId="00EA9E7B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9E8BD1" w14:textId="68775D5F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66C07E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00E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139" w:rsidRPr="001937BB" w14:paraId="002187FD" w14:textId="019F536D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DCF61F" w14:textId="04063E5C" w:rsidR="00C60139" w:rsidRPr="00DC067A" w:rsidRDefault="00C60139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The argument utilizes a clear organizational strategy and effective transitions that develop its line of inquiry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DADDED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809EB2" w14:textId="093BA533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54E515" w14:textId="25BAEA18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E54F57" w14:textId="480AFC21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1C3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139" w:rsidRPr="001937BB" w14:paraId="123E017D" w14:textId="152C1348" w:rsidTr="00C60139">
        <w:trPr>
          <w:cantSplit/>
          <w:trHeight w:val="2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6A9E0C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BB">
              <w:rPr>
                <w:rFonts w:ascii="Times New Roman" w:hAnsi="Times New Roman" w:cs="Times New Roman"/>
                <w:b/>
                <w:sz w:val="18"/>
                <w:szCs w:val="18"/>
              </w:rPr>
              <w:t>OUTCOME FOUR: REVISING, EDITING, AND PROOFREADING</w:t>
            </w:r>
            <w:r w:rsidRPr="00193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C5D23" w14:textId="77777777" w:rsidR="00C60139" w:rsidRPr="001937BB" w:rsidRDefault="00C60139" w:rsidP="00193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0139" w:rsidRPr="001937BB" w14:paraId="59476B57" w14:textId="44BDF975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CBD314" w14:textId="77777777" w:rsidR="00C60139" w:rsidRPr="00DC067A" w:rsidRDefault="00C60139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 xml:space="preserve">Errors of grammar, punctuation, and mechanics are proofread </w:t>
            </w:r>
            <w:r w:rsidRPr="00DC0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 as not to interfere with reading and understanding the writing.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6D88B8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22EEC1" w14:textId="36D5EDA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2E6251" w14:textId="36779139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7E8F2B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D01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139" w:rsidRPr="001937BB" w14:paraId="3E768DFE" w14:textId="77206E7C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EDD93A" w14:textId="77777777" w:rsidR="00C60139" w:rsidRPr="00DC067A" w:rsidRDefault="00C60139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Revisions respond to substantive issues raised by instructor and peers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B339C5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BC2124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50558B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EE8BD1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40F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139" w:rsidRPr="001937BB" w14:paraId="78DCBA12" w14:textId="3045F46A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322489" w14:textId="77777777" w:rsidR="00C60139" w:rsidRPr="00DC067A" w:rsidRDefault="00C60139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7A">
              <w:rPr>
                <w:rFonts w:ascii="Times New Roman" w:hAnsi="Times New Roman" w:cs="Times New Roman"/>
                <w:sz w:val="20"/>
                <w:szCs w:val="20"/>
              </w:rPr>
              <w:t>Careful editing is evident, and writing is constructed carefully at the word and sentence levels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B07EC0" w14:textId="10FA39CD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FB6391" w14:textId="4EF20C7D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278706" w14:textId="53E74533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73A063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C7F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139" w:rsidRPr="001937BB" w14:paraId="12BF0693" w14:textId="4D894A46" w:rsidTr="00C60139">
        <w:trPr>
          <w:cantSplit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DB4903" w14:textId="77777777" w:rsidR="00C60139" w:rsidRPr="009B4968" w:rsidRDefault="00C60139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MLA citations are used correctly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8CD752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2D5FD2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C1DEDE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8FD3D8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ABB" w14:textId="77777777" w:rsidR="00C60139" w:rsidRPr="001937BB" w:rsidRDefault="00C60139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6BE7AE" w14:textId="77777777" w:rsidR="0016261C" w:rsidRPr="0016261C" w:rsidRDefault="0016261C" w:rsidP="009E671A">
      <w:pPr>
        <w:rPr>
          <w:rFonts w:ascii="Times New Roman" w:hAnsi="Times New Roman" w:cs="Times New Roman"/>
          <w:sz w:val="28"/>
          <w:szCs w:val="18"/>
        </w:rPr>
      </w:pPr>
    </w:p>
    <w:sectPr w:rsidR="0016261C" w:rsidRPr="0016261C" w:rsidSect="00162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4F6D"/>
    <w:multiLevelType w:val="hybridMultilevel"/>
    <w:tmpl w:val="84A0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4960"/>
    <w:multiLevelType w:val="hybridMultilevel"/>
    <w:tmpl w:val="59E0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4E3"/>
    <w:multiLevelType w:val="hybridMultilevel"/>
    <w:tmpl w:val="F1AA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BB"/>
    <w:rsid w:val="00000444"/>
    <w:rsid w:val="00006436"/>
    <w:rsid w:val="0001202B"/>
    <w:rsid w:val="00016675"/>
    <w:rsid w:val="0004377E"/>
    <w:rsid w:val="00053B4F"/>
    <w:rsid w:val="00055F08"/>
    <w:rsid w:val="000A0C8F"/>
    <w:rsid w:val="000B08EC"/>
    <w:rsid w:val="000C0D4B"/>
    <w:rsid w:val="000D2F6A"/>
    <w:rsid w:val="000D70D3"/>
    <w:rsid w:val="000F0604"/>
    <w:rsid w:val="0011236D"/>
    <w:rsid w:val="00132097"/>
    <w:rsid w:val="00133479"/>
    <w:rsid w:val="00135B60"/>
    <w:rsid w:val="00135CB6"/>
    <w:rsid w:val="00142EC0"/>
    <w:rsid w:val="00147BA9"/>
    <w:rsid w:val="001570C0"/>
    <w:rsid w:val="0016261C"/>
    <w:rsid w:val="00176291"/>
    <w:rsid w:val="00181E8D"/>
    <w:rsid w:val="00184941"/>
    <w:rsid w:val="00184AF4"/>
    <w:rsid w:val="001937BB"/>
    <w:rsid w:val="00195163"/>
    <w:rsid w:val="001C0BE0"/>
    <w:rsid w:val="001C227C"/>
    <w:rsid w:val="001D3B2F"/>
    <w:rsid w:val="001E151D"/>
    <w:rsid w:val="001E4EED"/>
    <w:rsid w:val="001E6A42"/>
    <w:rsid w:val="001F2F76"/>
    <w:rsid w:val="0021235B"/>
    <w:rsid w:val="00215202"/>
    <w:rsid w:val="0022182D"/>
    <w:rsid w:val="00233DF6"/>
    <w:rsid w:val="00233FD5"/>
    <w:rsid w:val="00245E4E"/>
    <w:rsid w:val="002508A0"/>
    <w:rsid w:val="00253D40"/>
    <w:rsid w:val="0025506B"/>
    <w:rsid w:val="002557E4"/>
    <w:rsid w:val="00267BCD"/>
    <w:rsid w:val="00273973"/>
    <w:rsid w:val="002814A5"/>
    <w:rsid w:val="002B10D1"/>
    <w:rsid w:val="002D2337"/>
    <w:rsid w:val="002E0B60"/>
    <w:rsid w:val="002E1E59"/>
    <w:rsid w:val="002F4E7E"/>
    <w:rsid w:val="002F79C6"/>
    <w:rsid w:val="00303F14"/>
    <w:rsid w:val="00311B5F"/>
    <w:rsid w:val="00311BA2"/>
    <w:rsid w:val="00314A1E"/>
    <w:rsid w:val="0031611F"/>
    <w:rsid w:val="00322F2C"/>
    <w:rsid w:val="003233EF"/>
    <w:rsid w:val="00335218"/>
    <w:rsid w:val="003367F9"/>
    <w:rsid w:val="003918BE"/>
    <w:rsid w:val="003A16A0"/>
    <w:rsid w:val="003A1F80"/>
    <w:rsid w:val="003A2A1E"/>
    <w:rsid w:val="003A62FB"/>
    <w:rsid w:val="003B329F"/>
    <w:rsid w:val="003B6AD0"/>
    <w:rsid w:val="003C694D"/>
    <w:rsid w:val="003D4AF9"/>
    <w:rsid w:val="003F0E61"/>
    <w:rsid w:val="003F10BF"/>
    <w:rsid w:val="003F2E3C"/>
    <w:rsid w:val="00403366"/>
    <w:rsid w:val="004412AA"/>
    <w:rsid w:val="004542B2"/>
    <w:rsid w:val="004657D8"/>
    <w:rsid w:val="004B2EA8"/>
    <w:rsid w:val="004B71AA"/>
    <w:rsid w:val="004E4ADB"/>
    <w:rsid w:val="004F3C6B"/>
    <w:rsid w:val="00503093"/>
    <w:rsid w:val="00523283"/>
    <w:rsid w:val="00523674"/>
    <w:rsid w:val="00530E51"/>
    <w:rsid w:val="0055719F"/>
    <w:rsid w:val="005753F8"/>
    <w:rsid w:val="00580BE6"/>
    <w:rsid w:val="005857EC"/>
    <w:rsid w:val="00586C68"/>
    <w:rsid w:val="00590BE6"/>
    <w:rsid w:val="005A771B"/>
    <w:rsid w:val="005B49C6"/>
    <w:rsid w:val="005D45D9"/>
    <w:rsid w:val="005F6503"/>
    <w:rsid w:val="0060673C"/>
    <w:rsid w:val="00607C14"/>
    <w:rsid w:val="0063288E"/>
    <w:rsid w:val="006505E0"/>
    <w:rsid w:val="00655901"/>
    <w:rsid w:val="00656E04"/>
    <w:rsid w:val="006658AD"/>
    <w:rsid w:val="0066619B"/>
    <w:rsid w:val="006769AC"/>
    <w:rsid w:val="006774AD"/>
    <w:rsid w:val="006A5FC2"/>
    <w:rsid w:val="006A7880"/>
    <w:rsid w:val="006B7BD5"/>
    <w:rsid w:val="006C1DB2"/>
    <w:rsid w:val="006D2EF0"/>
    <w:rsid w:val="00711795"/>
    <w:rsid w:val="0071665C"/>
    <w:rsid w:val="007230BC"/>
    <w:rsid w:val="00736EF2"/>
    <w:rsid w:val="00740443"/>
    <w:rsid w:val="00745A8C"/>
    <w:rsid w:val="00746F38"/>
    <w:rsid w:val="0075272E"/>
    <w:rsid w:val="007626F8"/>
    <w:rsid w:val="00765FA8"/>
    <w:rsid w:val="00780EF7"/>
    <w:rsid w:val="007825FF"/>
    <w:rsid w:val="0079153D"/>
    <w:rsid w:val="00795A1D"/>
    <w:rsid w:val="007976F6"/>
    <w:rsid w:val="007C4C85"/>
    <w:rsid w:val="007C7C88"/>
    <w:rsid w:val="008101C6"/>
    <w:rsid w:val="00815D6C"/>
    <w:rsid w:val="00820D02"/>
    <w:rsid w:val="00853EFF"/>
    <w:rsid w:val="00876AFA"/>
    <w:rsid w:val="00876D19"/>
    <w:rsid w:val="00881662"/>
    <w:rsid w:val="008A3E17"/>
    <w:rsid w:val="008B0C30"/>
    <w:rsid w:val="008C5898"/>
    <w:rsid w:val="008D479B"/>
    <w:rsid w:val="008D47FC"/>
    <w:rsid w:val="008E122C"/>
    <w:rsid w:val="008E365C"/>
    <w:rsid w:val="008F1A4F"/>
    <w:rsid w:val="008F1EF9"/>
    <w:rsid w:val="008F35CD"/>
    <w:rsid w:val="008F7FC7"/>
    <w:rsid w:val="009148DC"/>
    <w:rsid w:val="009207EB"/>
    <w:rsid w:val="00920C39"/>
    <w:rsid w:val="00920C8B"/>
    <w:rsid w:val="0092215B"/>
    <w:rsid w:val="00923D92"/>
    <w:rsid w:val="009307EB"/>
    <w:rsid w:val="00941C68"/>
    <w:rsid w:val="00942BF7"/>
    <w:rsid w:val="0095447C"/>
    <w:rsid w:val="009709C6"/>
    <w:rsid w:val="009A369F"/>
    <w:rsid w:val="009B4968"/>
    <w:rsid w:val="009C48BD"/>
    <w:rsid w:val="009D2D7A"/>
    <w:rsid w:val="009D362D"/>
    <w:rsid w:val="009E315B"/>
    <w:rsid w:val="009E671A"/>
    <w:rsid w:val="009E7924"/>
    <w:rsid w:val="009F3F10"/>
    <w:rsid w:val="00A102C5"/>
    <w:rsid w:val="00A20152"/>
    <w:rsid w:val="00A23AE7"/>
    <w:rsid w:val="00A34200"/>
    <w:rsid w:val="00A357D8"/>
    <w:rsid w:val="00A461C1"/>
    <w:rsid w:val="00A72F4F"/>
    <w:rsid w:val="00A74B47"/>
    <w:rsid w:val="00A767D2"/>
    <w:rsid w:val="00A84BFB"/>
    <w:rsid w:val="00A86C92"/>
    <w:rsid w:val="00AB7900"/>
    <w:rsid w:val="00AC5B28"/>
    <w:rsid w:val="00AD5038"/>
    <w:rsid w:val="00AF17DE"/>
    <w:rsid w:val="00B10A62"/>
    <w:rsid w:val="00B177C0"/>
    <w:rsid w:val="00B2252D"/>
    <w:rsid w:val="00B36247"/>
    <w:rsid w:val="00B42F08"/>
    <w:rsid w:val="00B47F8B"/>
    <w:rsid w:val="00B50B1A"/>
    <w:rsid w:val="00B708BA"/>
    <w:rsid w:val="00B80920"/>
    <w:rsid w:val="00B86A14"/>
    <w:rsid w:val="00BB4A2B"/>
    <w:rsid w:val="00BC49C6"/>
    <w:rsid w:val="00BC5102"/>
    <w:rsid w:val="00BF44C7"/>
    <w:rsid w:val="00C07420"/>
    <w:rsid w:val="00C164EA"/>
    <w:rsid w:val="00C450CA"/>
    <w:rsid w:val="00C458C6"/>
    <w:rsid w:val="00C60139"/>
    <w:rsid w:val="00C7503C"/>
    <w:rsid w:val="00C8678D"/>
    <w:rsid w:val="00C95CBD"/>
    <w:rsid w:val="00CA0569"/>
    <w:rsid w:val="00CB4381"/>
    <w:rsid w:val="00CB43D5"/>
    <w:rsid w:val="00CC3266"/>
    <w:rsid w:val="00CC7CCA"/>
    <w:rsid w:val="00CD125D"/>
    <w:rsid w:val="00CE41C8"/>
    <w:rsid w:val="00CE69EF"/>
    <w:rsid w:val="00D05BB9"/>
    <w:rsid w:val="00D062A9"/>
    <w:rsid w:val="00D32DD3"/>
    <w:rsid w:val="00D60A99"/>
    <w:rsid w:val="00D66DBD"/>
    <w:rsid w:val="00D81E4F"/>
    <w:rsid w:val="00D83FCC"/>
    <w:rsid w:val="00D904F1"/>
    <w:rsid w:val="00D9360F"/>
    <w:rsid w:val="00D95BE7"/>
    <w:rsid w:val="00DB0016"/>
    <w:rsid w:val="00DC067A"/>
    <w:rsid w:val="00DF5455"/>
    <w:rsid w:val="00E03261"/>
    <w:rsid w:val="00E07335"/>
    <w:rsid w:val="00E11B95"/>
    <w:rsid w:val="00E21D7F"/>
    <w:rsid w:val="00E223CC"/>
    <w:rsid w:val="00E524F8"/>
    <w:rsid w:val="00E55BAE"/>
    <w:rsid w:val="00E6677E"/>
    <w:rsid w:val="00E92318"/>
    <w:rsid w:val="00E964C4"/>
    <w:rsid w:val="00EA4862"/>
    <w:rsid w:val="00EA490C"/>
    <w:rsid w:val="00EC14A1"/>
    <w:rsid w:val="00EC22B2"/>
    <w:rsid w:val="00EF45FE"/>
    <w:rsid w:val="00EF4923"/>
    <w:rsid w:val="00F071B5"/>
    <w:rsid w:val="00F15B29"/>
    <w:rsid w:val="00F23DA4"/>
    <w:rsid w:val="00F33F12"/>
    <w:rsid w:val="00F35373"/>
    <w:rsid w:val="00F374FC"/>
    <w:rsid w:val="00F457C2"/>
    <w:rsid w:val="00F575EC"/>
    <w:rsid w:val="00F61B6A"/>
    <w:rsid w:val="00F67DB7"/>
    <w:rsid w:val="00F779A6"/>
    <w:rsid w:val="00F841AA"/>
    <w:rsid w:val="00F86AC5"/>
    <w:rsid w:val="00F931EA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E449"/>
  <w15:chartTrackingRefBased/>
  <w15:docId w15:val="{2405833D-0348-4BEC-9721-5563B5F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37BB"/>
    <w:pPr>
      <w:keepNext/>
      <w:spacing w:after="0" w:line="240" w:lineRule="auto"/>
      <w:outlineLvl w:val="0"/>
    </w:pPr>
    <w:rPr>
      <w:rFonts w:ascii="Arial" w:eastAsia="Times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937BB"/>
    <w:rPr>
      <w:rFonts w:ascii="Arial" w:eastAsia="Times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0606-FAAF-4985-9B00-B9AF2124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Ehrlich, Emily</dc:creator>
  <cp:keywords/>
  <dc:description/>
  <cp:lastModifiedBy>Admin Alycia</cp:lastModifiedBy>
  <cp:revision>2</cp:revision>
  <dcterms:created xsi:type="dcterms:W3CDTF">2019-03-05T21:05:00Z</dcterms:created>
  <dcterms:modified xsi:type="dcterms:W3CDTF">2019-03-05T21:05:00Z</dcterms:modified>
</cp:coreProperties>
</file>