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7922" w14:textId="77777777" w:rsidR="00975C97" w:rsidRPr="0020426C" w:rsidRDefault="00975C97" w:rsidP="00975C97">
      <w:pPr>
        <w:pStyle w:val="Title"/>
        <w:rPr>
          <w:rFonts w:ascii="Times New Roman" w:hAnsi="Times New Roman" w:cs="Times New Roman"/>
          <w:sz w:val="44"/>
          <w:szCs w:val="44"/>
        </w:rPr>
      </w:pPr>
      <w:r w:rsidRPr="0020426C">
        <w:rPr>
          <w:rFonts w:ascii="Times New Roman" w:hAnsi="Times New Roman" w:cs="Times New Roman"/>
          <w:sz w:val="44"/>
          <w:szCs w:val="44"/>
        </w:rPr>
        <w:t>Art History 209 A W: Art Now</w:t>
      </w:r>
    </w:p>
    <w:p w14:paraId="576AEA56" w14:textId="77777777" w:rsidR="00975C97" w:rsidRPr="0020426C" w:rsidRDefault="00975C97" w:rsidP="00975C97">
      <w:r w:rsidRPr="0020426C">
        <w:t>Spring 201</w:t>
      </w:r>
      <w:r>
        <w:t>9</w:t>
      </w:r>
    </w:p>
    <w:p w14:paraId="3BACCF0B" w14:textId="77777777" w:rsidR="00975C97" w:rsidRPr="0020426C" w:rsidRDefault="00975C97" w:rsidP="00975C97">
      <w:r>
        <w:t>Lecture M/W 1-2:20pm in Anderson Hall 223</w:t>
      </w:r>
      <w:r w:rsidRPr="0020426C">
        <w:t>,</w:t>
      </w:r>
      <w:r>
        <w:t xml:space="preserve"> compulsory</w:t>
      </w:r>
      <w:r w:rsidRPr="0020426C">
        <w:t xml:space="preserve"> writing sections </w:t>
      </w:r>
      <w:r>
        <w:t>on Thursday</w:t>
      </w:r>
    </w:p>
    <w:p w14:paraId="6F8F9EC0" w14:textId="77777777" w:rsidR="00975C97" w:rsidRPr="0020426C" w:rsidRDefault="00975C97" w:rsidP="00975C97">
      <w:r w:rsidRPr="0020426C">
        <w:t xml:space="preserve">Professor Adair </w:t>
      </w:r>
      <w:proofErr w:type="spellStart"/>
      <w:r w:rsidRPr="0020426C">
        <w:t>Rounthwaite</w:t>
      </w:r>
      <w:proofErr w:type="spellEnd"/>
      <w:r w:rsidRPr="0020426C">
        <w:t xml:space="preserve">, </w:t>
      </w:r>
      <w:hyperlink r:id="rId7" w:history="1">
        <w:r w:rsidRPr="0020426C">
          <w:rPr>
            <w:rStyle w:val="Hyperlink"/>
          </w:rPr>
          <w:t>vadair@uw.edu</w:t>
        </w:r>
      </w:hyperlink>
      <w:r w:rsidRPr="0020426C">
        <w:t xml:space="preserve">, office hours </w:t>
      </w:r>
      <w:r>
        <w:t>Monday 10am-12pm</w:t>
      </w:r>
      <w:r w:rsidRPr="0020426C">
        <w:t xml:space="preserve"> or by appointment</w:t>
      </w:r>
      <w:r>
        <w:t xml:space="preserve">, Art Building 367 </w:t>
      </w:r>
      <w:r w:rsidRPr="0020426C">
        <w:t xml:space="preserve"> </w:t>
      </w:r>
    </w:p>
    <w:p w14:paraId="73CA3012" w14:textId="0D3A7DE0" w:rsidR="00975C97" w:rsidRPr="0020426C" w:rsidRDefault="00975C97" w:rsidP="00975C97">
      <w:r>
        <w:t xml:space="preserve">Lane Eagles, </w:t>
      </w:r>
      <w:hyperlink r:id="rId8" w:history="1">
        <w:r w:rsidRPr="00D1669D">
          <w:rPr>
            <w:rStyle w:val="Hyperlink"/>
          </w:rPr>
          <w:t>lmeagles@uw.edu</w:t>
        </w:r>
      </w:hyperlink>
      <w:r>
        <w:t>, office hours T</w:t>
      </w:r>
      <w:r w:rsidR="00F83555">
        <w:t>hursday</w:t>
      </w:r>
      <w:bookmarkStart w:id="0" w:name="_GoBack"/>
      <w:bookmarkEnd w:id="0"/>
      <w:r w:rsidR="005B7301">
        <w:t xml:space="preserve"> 10am-12pm, Art Building 311</w:t>
      </w:r>
    </w:p>
    <w:p w14:paraId="2EA31A5A" w14:textId="77777777" w:rsidR="00975C97" w:rsidRPr="0020426C" w:rsidRDefault="00975C97" w:rsidP="00975C97"/>
    <w:p w14:paraId="4236B341" w14:textId="77777777" w:rsidR="00975C97" w:rsidRPr="0020426C" w:rsidRDefault="00975C97" w:rsidP="00975C97">
      <w:pPr>
        <w:pStyle w:val="Heading1"/>
        <w:rPr>
          <w:rFonts w:ascii="Times New Roman" w:hAnsi="Times New Roman"/>
        </w:rPr>
      </w:pPr>
      <w:r w:rsidRPr="0020426C">
        <w:rPr>
          <w:rFonts w:ascii="Times New Roman" w:hAnsi="Times New Roman"/>
        </w:rPr>
        <w:t>Course description</w:t>
      </w:r>
    </w:p>
    <w:p w14:paraId="4787A62B" w14:textId="77777777" w:rsidR="00975C97" w:rsidRPr="0020426C" w:rsidRDefault="00975C97" w:rsidP="00975C97">
      <w:r w:rsidRPr="0020426C">
        <w:t>Contemporary art today confronts viewers with a bewildering array of images, objects,</w:t>
      </w:r>
    </w:p>
    <w:p w14:paraId="39FEAC7E" w14:textId="77777777" w:rsidR="00975C97" w:rsidRPr="0020426C" w:rsidRDefault="00975C97" w:rsidP="00975C97">
      <w:r w:rsidRPr="0020426C">
        <w:t>and processes. This can leave viewers thinking: can anything count as “art?” And what’s</w:t>
      </w:r>
    </w:p>
    <w:p w14:paraId="7A2C34B0" w14:textId="77777777" w:rsidR="00975C97" w:rsidRPr="0020426C" w:rsidRDefault="00975C97" w:rsidP="00975C97">
      <w:r w:rsidRPr="0020426C">
        <w:t>the point of it all? In this class, we explore how contemporary art connects artists and</w:t>
      </w:r>
    </w:p>
    <w:p w14:paraId="0CEE38C1" w14:textId="77777777" w:rsidR="00975C97" w:rsidRPr="0020426C" w:rsidRDefault="00975C97" w:rsidP="00975C97">
      <w:r w:rsidRPr="0020426C">
        <w:t>viewers in forms of creative engagement with pressing social and political issues. We</w:t>
      </w:r>
    </w:p>
    <w:p w14:paraId="2A03FE7C" w14:textId="77777777" w:rsidR="00975C97" w:rsidRPr="0020426C" w:rsidRDefault="00975C97" w:rsidP="00975C97">
      <w:r w:rsidRPr="0020426C">
        <w:t>will see how artists use diverse strategies to help us consider who we are, how our world</w:t>
      </w:r>
    </w:p>
    <w:p w14:paraId="7646A1A0" w14:textId="77777777" w:rsidR="00975C97" w:rsidRPr="0020426C" w:rsidRDefault="00975C97" w:rsidP="00975C97">
      <w:r w:rsidRPr="0020426C">
        <w:t>is changing, and how we can best inhabit it together. Across a set of themes that address</w:t>
      </w:r>
    </w:p>
    <w:p w14:paraId="0EB37B60" w14:textId="77777777" w:rsidR="00975C97" w:rsidRPr="0020426C" w:rsidRDefault="00975C97" w:rsidP="00975C97">
      <w:r w:rsidRPr="0020426C">
        <w:t>the state of contemporary global culture, students will analyze how today’s art speaks to</w:t>
      </w:r>
    </w:p>
    <w:p w14:paraId="1690DC48" w14:textId="77777777" w:rsidR="00975C97" w:rsidRPr="0020426C" w:rsidRDefault="00975C97" w:rsidP="00975C97">
      <w:r w:rsidRPr="0020426C">
        <w:t>both individual and collective lives and identities. The artwork we examine was made mostly from 1980 to the present, but we will also discuss some earlier artists whose work provided essential precedents for art practice in the contemporary period.</w:t>
      </w:r>
    </w:p>
    <w:p w14:paraId="4E5F77CB" w14:textId="77777777" w:rsidR="00975C97" w:rsidRPr="0020426C" w:rsidRDefault="00975C97" w:rsidP="00975C97">
      <w:pPr>
        <w:ind w:firstLine="720"/>
      </w:pPr>
      <w:r w:rsidRPr="0020426C">
        <w:t>The course trains students how to express ideas about art in clear, structured pieces of</w:t>
      </w:r>
    </w:p>
    <w:p w14:paraId="3F838515" w14:textId="77777777" w:rsidR="00975C97" w:rsidRPr="0020426C" w:rsidRDefault="00975C97" w:rsidP="00975C97">
      <w:r w:rsidRPr="0020426C">
        <w:t>writing. In particular, contemporary art—which places heavy emphasis on the viewer’s</w:t>
      </w:r>
    </w:p>
    <w:p w14:paraId="33954468" w14:textId="77777777" w:rsidR="00975C97" w:rsidRPr="0020426C" w:rsidRDefault="00975C97" w:rsidP="00975C97">
      <w:r w:rsidRPr="0020426C">
        <w:t>subjective experience—provides an ideal case study for considering how to develop a</w:t>
      </w:r>
    </w:p>
    <w:p w14:paraId="006E1217" w14:textId="77777777" w:rsidR="00975C97" w:rsidRPr="0020426C" w:rsidRDefault="00975C97" w:rsidP="00975C97">
      <w:r w:rsidRPr="0020426C">
        <w:t>convincing thesis statement based on one’s own experience or opinion, and how to</w:t>
      </w:r>
    </w:p>
    <w:p w14:paraId="19B8BAB3" w14:textId="77777777" w:rsidR="00975C97" w:rsidRPr="0020426C" w:rsidRDefault="00975C97" w:rsidP="00975C97">
      <w:r w:rsidRPr="0020426C">
        <w:t>support it using visual evidence.</w:t>
      </w:r>
    </w:p>
    <w:p w14:paraId="5EDF1D4C" w14:textId="77777777" w:rsidR="00975C97" w:rsidRPr="0020426C" w:rsidRDefault="00975C97" w:rsidP="00975C97"/>
    <w:p w14:paraId="3073E1C3" w14:textId="77777777" w:rsidR="00975C97" w:rsidRPr="0020426C" w:rsidRDefault="00975C97" w:rsidP="00975C97">
      <w:pPr>
        <w:pStyle w:val="Heading1"/>
        <w:rPr>
          <w:rFonts w:ascii="Times New Roman" w:hAnsi="Times New Roman"/>
        </w:rPr>
      </w:pPr>
      <w:r w:rsidRPr="0020426C">
        <w:rPr>
          <w:rFonts w:ascii="Times New Roman" w:hAnsi="Times New Roman"/>
        </w:rPr>
        <w:t>Learning goals</w:t>
      </w:r>
    </w:p>
    <w:p w14:paraId="68A8BC45" w14:textId="77777777" w:rsidR="00975C97" w:rsidRPr="0020426C" w:rsidRDefault="00975C97" w:rsidP="00975C97">
      <w:r w:rsidRPr="0020426C">
        <w:t>In this class, students will:</w:t>
      </w:r>
    </w:p>
    <w:p w14:paraId="2C4B9961" w14:textId="77777777" w:rsidR="00975C97" w:rsidRPr="0020426C" w:rsidRDefault="00975C97" w:rsidP="00975C97">
      <w:pPr>
        <w:pStyle w:val="ListParagraph"/>
        <w:numPr>
          <w:ilvl w:val="0"/>
          <w:numId w:val="1"/>
        </w:numPr>
      </w:pPr>
      <w:r w:rsidRPr="0020426C">
        <w:t>Become familiar with a wide range of contemporary art practices of the past</w:t>
      </w:r>
    </w:p>
    <w:p w14:paraId="6B47F0CF" w14:textId="77777777" w:rsidR="00975C97" w:rsidRPr="0020426C" w:rsidRDefault="00975C97" w:rsidP="00975C97">
      <w:pPr>
        <w:ind w:firstLine="720"/>
      </w:pPr>
      <w:r w:rsidRPr="0020426C">
        <w:t>thirty years, and with important milestones in the modern art from which they</w:t>
      </w:r>
    </w:p>
    <w:p w14:paraId="41EE157B" w14:textId="77777777" w:rsidR="00975C97" w:rsidRPr="0020426C" w:rsidRDefault="00975C97" w:rsidP="00975C97">
      <w:pPr>
        <w:ind w:firstLine="720"/>
      </w:pPr>
      <w:r w:rsidRPr="0020426C">
        <w:t>evolved.</w:t>
      </w:r>
    </w:p>
    <w:p w14:paraId="65BAF941" w14:textId="77777777" w:rsidR="00975C97" w:rsidRPr="0020426C" w:rsidRDefault="00975C97" w:rsidP="00975C97">
      <w:pPr>
        <w:pStyle w:val="ListParagraph"/>
        <w:numPr>
          <w:ilvl w:val="0"/>
          <w:numId w:val="1"/>
        </w:numPr>
      </w:pPr>
      <w:r w:rsidRPr="0020426C">
        <w:t>Build skills in the visual analysis of artworks.</w:t>
      </w:r>
    </w:p>
    <w:p w14:paraId="50F93031" w14:textId="77777777" w:rsidR="00975C97" w:rsidRPr="0020426C" w:rsidRDefault="00975C97" w:rsidP="00975C97">
      <w:pPr>
        <w:pStyle w:val="ListParagraph"/>
        <w:numPr>
          <w:ilvl w:val="0"/>
          <w:numId w:val="1"/>
        </w:numPr>
      </w:pPr>
      <w:r w:rsidRPr="0020426C">
        <w:t>Practice writing and revising clear, well-structured texts that express ideas about</w:t>
      </w:r>
    </w:p>
    <w:p w14:paraId="02BAB221" w14:textId="77777777" w:rsidR="00975C97" w:rsidRPr="0020426C" w:rsidRDefault="00975C97" w:rsidP="00975C97">
      <w:pPr>
        <w:ind w:firstLine="720"/>
      </w:pPr>
      <w:r w:rsidRPr="0020426C">
        <w:t>artworks, supported by visual evidence.</w:t>
      </w:r>
    </w:p>
    <w:p w14:paraId="4F5045CC" w14:textId="77777777" w:rsidR="00975C97" w:rsidRPr="0020426C" w:rsidRDefault="00975C97" w:rsidP="00975C97">
      <w:pPr>
        <w:pStyle w:val="ListParagraph"/>
        <w:numPr>
          <w:ilvl w:val="0"/>
          <w:numId w:val="2"/>
        </w:numPr>
      </w:pPr>
      <w:r w:rsidRPr="0020426C">
        <w:t>Make connections between contemporary artistic production and questions of</w:t>
      </w:r>
    </w:p>
    <w:p w14:paraId="55928A96" w14:textId="77777777" w:rsidR="00975C97" w:rsidRPr="0020426C" w:rsidRDefault="00975C97" w:rsidP="00975C97">
      <w:pPr>
        <w:ind w:firstLine="720"/>
      </w:pPr>
      <w:r w:rsidRPr="0020426C">
        <w:t>pressing social and political importance, and explain these connections in writing.</w:t>
      </w:r>
    </w:p>
    <w:p w14:paraId="71DB876A" w14:textId="77777777" w:rsidR="00975C97" w:rsidRPr="0020426C" w:rsidRDefault="00975C97" w:rsidP="00975C97"/>
    <w:p w14:paraId="0DE6CF11" w14:textId="77777777" w:rsidR="00975C97" w:rsidRPr="0020426C" w:rsidRDefault="00975C97" w:rsidP="00975C97">
      <w:pPr>
        <w:pStyle w:val="Heading1"/>
        <w:rPr>
          <w:rFonts w:ascii="Times New Roman" w:hAnsi="Times New Roman"/>
        </w:rPr>
      </w:pPr>
      <w:r w:rsidRPr="0020426C">
        <w:rPr>
          <w:rFonts w:ascii="Times New Roman" w:hAnsi="Times New Roman"/>
        </w:rPr>
        <w:t>Readings</w:t>
      </w:r>
    </w:p>
    <w:p w14:paraId="6AA285D5" w14:textId="11FCBA02" w:rsidR="00975C97" w:rsidRPr="0020426C" w:rsidRDefault="00975C97" w:rsidP="00975C97">
      <w:pPr>
        <w:rPr>
          <w:i/>
        </w:rPr>
      </w:pPr>
      <w:r w:rsidRPr="0020426C">
        <w:t xml:space="preserve">You are required to purchase Gilda Williams’ book </w:t>
      </w:r>
      <w:r w:rsidRPr="0020426C">
        <w:rPr>
          <w:i/>
        </w:rPr>
        <w:t>How to Write About</w:t>
      </w:r>
    </w:p>
    <w:p w14:paraId="77F5213B" w14:textId="77777777" w:rsidR="00975C97" w:rsidRPr="0020426C" w:rsidRDefault="00975C97" w:rsidP="00975C97">
      <w:r w:rsidRPr="0020426C">
        <w:rPr>
          <w:i/>
        </w:rPr>
        <w:t xml:space="preserve">Contemporary Art </w:t>
      </w:r>
      <w:r w:rsidRPr="0020426C">
        <w:t xml:space="preserve">(London: Thames and Hudson, 2014), which is available </w:t>
      </w:r>
      <w:r>
        <w:t xml:space="preserve">online and </w:t>
      </w:r>
      <w:r w:rsidRPr="0020426C">
        <w:t>at the</w:t>
      </w:r>
    </w:p>
    <w:p w14:paraId="1208C102" w14:textId="79427CD9" w:rsidR="00975C97" w:rsidRPr="0020426C" w:rsidRDefault="00975C97" w:rsidP="00975C97">
      <w:r w:rsidRPr="0020426C">
        <w:t xml:space="preserve">bookstore. </w:t>
      </w:r>
      <w:r w:rsidR="00624470">
        <w:t xml:space="preserve">For each theme I also list recommended readings, available </w:t>
      </w:r>
      <w:r w:rsidR="000C486A">
        <w:t>as links or as PDFs on Canvas. Those readings are not compulsory and you won’t be tested on them, but they will enrich your knowledge of each topic and also provide strong ex</w:t>
      </w:r>
      <w:r w:rsidR="007E4AEC">
        <w:t xml:space="preserve">amples of art writing across different venues including scholarly journals, </w:t>
      </w:r>
      <w:r w:rsidR="00084996">
        <w:t xml:space="preserve">edited volumes of scholarly essays, </w:t>
      </w:r>
      <w:r w:rsidR="002B08AA">
        <w:t xml:space="preserve">art magazines, and news journalism. </w:t>
      </w:r>
    </w:p>
    <w:p w14:paraId="74E124D8" w14:textId="77777777" w:rsidR="00975C97" w:rsidRPr="0020426C" w:rsidRDefault="00975C97" w:rsidP="00975C97"/>
    <w:p w14:paraId="7C4F585E" w14:textId="77777777" w:rsidR="00975C97" w:rsidRPr="0020426C" w:rsidRDefault="00975C97" w:rsidP="00975C97">
      <w:pPr>
        <w:pStyle w:val="Heading1"/>
        <w:rPr>
          <w:rFonts w:ascii="Times New Roman" w:hAnsi="Times New Roman"/>
        </w:rPr>
      </w:pPr>
      <w:r w:rsidRPr="0020426C">
        <w:rPr>
          <w:rFonts w:ascii="Times New Roman" w:hAnsi="Times New Roman"/>
        </w:rPr>
        <w:t>Evaluation</w:t>
      </w:r>
    </w:p>
    <w:p w14:paraId="0AFE0F8E" w14:textId="77777777" w:rsidR="00975C97" w:rsidRPr="0020426C" w:rsidRDefault="00975C97" w:rsidP="00975C97">
      <w:r w:rsidRPr="0020426C">
        <w:t>Short paper #1 (5 pages, double spaced, 12-point Times New Roman font; in response to</w:t>
      </w:r>
    </w:p>
    <w:p w14:paraId="4FA7625F" w14:textId="152F5C5D" w:rsidR="00975C97" w:rsidRPr="0020426C" w:rsidRDefault="00975C97" w:rsidP="00975C97">
      <w:r w:rsidRPr="0020426C">
        <w:t>prompt available on Canvas) = 2</w:t>
      </w:r>
      <w:r w:rsidR="00DB6960">
        <w:t>5</w:t>
      </w:r>
      <w:r w:rsidRPr="0020426C">
        <w:t>%</w:t>
      </w:r>
    </w:p>
    <w:p w14:paraId="6375C1A8" w14:textId="7C7BEC0E" w:rsidR="00975C97" w:rsidRPr="0020426C" w:rsidRDefault="00975C97" w:rsidP="00975C97">
      <w:r w:rsidRPr="0020426C">
        <w:lastRenderedPageBreak/>
        <w:t>Revision of short paper #1 = 2</w:t>
      </w:r>
      <w:r w:rsidR="00DB6960">
        <w:t>0</w:t>
      </w:r>
      <w:r w:rsidRPr="0020426C">
        <w:t>%</w:t>
      </w:r>
    </w:p>
    <w:p w14:paraId="3793407E" w14:textId="77777777" w:rsidR="00975C97" w:rsidRPr="0020426C" w:rsidRDefault="00975C97" w:rsidP="00975C97">
      <w:r w:rsidRPr="0020426C">
        <w:t>Short paper #2 (5 pages) = 25%</w:t>
      </w:r>
    </w:p>
    <w:p w14:paraId="271E0248" w14:textId="2F9D39DE" w:rsidR="00975C97" w:rsidRDefault="00975C97" w:rsidP="00975C97">
      <w:r w:rsidRPr="0020426C">
        <w:t>Weekly online content quizzes (ten points per quiz; lowest two grades dropped</w:t>
      </w:r>
      <w:r w:rsidR="00F335CB">
        <w:t>; all due at 11:59pm on Sundays</w:t>
      </w:r>
      <w:r w:rsidRPr="0020426C">
        <w:t xml:space="preserve">) = </w:t>
      </w:r>
      <w:r>
        <w:t>8</w:t>
      </w:r>
      <w:r w:rsidRPr="0020426C">
        <w:t>%</w:t>
      </w:r>
    </w:p>
    <w:p w14:paraId="454A5C32" w14:textId="77777777" w:rsidR="00975C97" w:rsidRPr="0020426C" w:rsidRDefault="00975C97" w:rsidP="00975C97">
      <w:r>
        <w:t>Weekly writing diary (graded twice during the quarter) = 7%</w:t>
      </w:r>
    </w:p>
    <w:p w14:paraId="50BFD469" w14:textId="331329CA" w:rsidR="00975C97" w:rsidRPr="0020426C" w:rsidRDefault="00975C97" w:rsidP="00975C97">
      <w:r w:rsidRPr="0020426C">
        <w:t xml:space="preserve">Participation in class and section, </w:t>
      </w:r>
      <w:r w:rsidR="00A808E8">
        <w:t xml:space="preserve">orally and </w:t>
      </w:r>
      <w:r w:rsidRPr="0020426C">
        <w:t>via Poll Everywhere = 15%</w:t>
      </w:r>
    </w:p>
    <w:p w14:paraId="6A44AFB6" w14:textId="77777777" w:rsidR="00975C97" w:rsidRPr="0020426C" w:rsidRDefault="00975C97" w:rsidP="00975C97"/>
    <w:p w14:paraId="6815C4B6" w14:textId="77777777" w:rsidR="00975C97" w:rsidRPr="0020426C" w:rsidRDefault="00975C97" w:rsidP="00975C97">
      <w:pPr>
        <w:pStyle w:val="Heading1"/>
        <w:rPr>
          <w:rFonts w:ascii="Times New Roman" w:hAnsi="Times New Roman"/>
        </w:rPr>
      </w:pPr>
      <w:r w:rsidRPr="0020426C">
        <w:rPr>
          <w:rFonts w:ascii="Times New Roman" w:hAnsi="Times New Roman"/>
        </w:rPr>
        <w:t>Writing section</w:t>
      </w:r>
    </w:p>
    <w:p w14:paraId="26287407" w14:textId="77777777" w:rsidR="00975C97" w:rsidRPr="0020426C" w:rsidRDefault="00975C97" w:rsidP="00975C97">
      <w:r w:rsidRPr="0020426C">
        <w:t xml:space="preserve">The </w:t>
      </w:r>
      <w:r>
        <w:t>Thursday</w:t>
      </w:r>
      <w:r w:rsidRPr="0020426C">
        <w:t xml:space="preserve"> writing section is compulsory for everyone enrolled in the course. It is not</w:t>
      </w:r>
    </w:p>
    <w:p w14:paraId="78F7F852" w14:textId="77777777" w:rsidR="00975C97" w:rsidRPr="0020426C" w:rsidRDefault="00975C97" w:rsidP="00975C97">
      <w:r w:rsidRPr="0020426C">
        <w:t>possible to take the course without a W credit. Like the lecture, sections will employ</w:t>
      </w:r>
    </w:p>
    <w:p w14:paraId="5BFE6271" w14:textId="77777777" w:rsidR="00975C97" w:rsidRPr="0020426C" w:rsidRDefault="00975C97" w:rsidP="00975C97">
      <w:r w:rsidRPr="0020426C">
        <w:t>Poll Everywhere to facilitate participation, and so you must come to class with your</w:t>
      </w:r>
    </w:p>
    <w:p w14:paraId="49135E3E" w14:textId="77777777" w:rsidR="00975C97" w:rsidRPr="0020426C" w:rsidRDefault="00975C97" w:rsidP="00975C97">
      <w:r w:rsidRPr="0020426C">
        <w:t>device to join the session. Because of the participation component via Poll Everywhere, and because of the occupancy limitations of our classrooms, it is not possible for you to attend a different section than the one for which you signed up.</w:t>
      </w:r>
    </w:p>
    <w:p w14:paraId="07135E86" w14:textId="77777777" w:rsidR="00975C97" w:rsidRPr="0020426C" w:rsidRDefault="00975C97" w:rsidP="00975C97"/>
    <w:p w14:paraId="4E40DD7B" w14:textId="762E1613" w:rsidR="00975C97" w:rsidRPr="00A15204" w:rsidRDefault="00E02659" w:rsidP="00A15204">
      <w:pPr>
        <w:pStyle w:val="Heading1"/>
        <w:rPr>
          <w:rFonts w:ascii="Times New Roman" w:hAnsi="Times New Roman"/>
        </w:rPr>
      </w:pPr>
      <w:r>
        <w:rPr>
          <w:rFonts w:ascii="Times New Roman" w:hAnsi="Times New Roman"/>
        </w:rPr>
        <w:t>Class</w:t>
      </w:r>
      <w:r w:rsidR="00975C97" w:rsidRPr="0020426C">
        <w:rPr>
          <w:rFonts w:ascii="Times New Roman" w:hAnsi="Times New Roman"/>
        </w:rPr>
        <w:t xml:space="preserve"> lecture schedule</w:t>
      </w:r>
    </w:p>
    <w:p w14:paraId="4AC064EC" w14:textId="7710F45B" w:rsidR="00C56A13" w:rsidRDefault="00C56A13" w:rsidP="00975C97">
      <w:r>
        <w:t xml:space="preserve">Please note that you need to read the required reading from Gilda </w:t>
      </w:r>
      <w:proofErr w:type="spellStart"/>
      <w:r>
        <w:t>Willaims</w:t>
      </w:r>
      <w:proofErr w:type="spellEnd"/>
      <w:r>
        <w:rPr>
          <w:b/>
        </w:rPr>
        <w:t xml:space="preserve"> before </w:t>
      </w:r>
      <w:r>
        <w:t xml:space="preserve">your weekly Thursday section in the week for which it’s listed. So for example you must read pages 9-17 before section </w:t>
      </w:r>
      <w:r w:rsidR="00E4083B">
        <w:t xml:space="preserve">in </w:t>
      </w:r>
      <w:r>
        <w:t>the first week of class.</w:t>
      </w:r>
    </w:p>
    <w:p w14:paraId="31383E66" w14:textId="77777777" w:rsidR="00C56A13" w:rsidRPr="00C56A13" w:rsidRDefault="00C56A13" w:rsidP="00975C97"/>
    <w:tbl>
      <w:tblPr>
        <w:tblStyle w:val="TableGrid"/>
        <w:tblW w:w="0" w:type="auto"/>
        <w:tblLook w:val="04A0" w:firstRow="1" w:lastRow="0" w:firstColumn="1" w:lastColumn="0" w:noHBand="0" w:noVBand="1"/>
      </w:tblPr>
      <w:tblGrid>
        <w:gridCol w:w="985"/>
        <w:gridCol w:w="2917"/>
        <w:gridCol w:w="5448"/>
      </w:tblGrid>
      <w:tr w:rsidR="00975C97" w:rsidRPr="0020426C" w14:paraId="1C3FC4E1" w14:textId="77777777" w:rsidTr="00A22874">
        <w:tc>
          <w:tcPr>
            <w:tcW w:w="985" w:type="dxa"/>
          </w:tcPr>
          <w:p w14:paraId="297D9DF6" w14:textId="77777777" w:rsidR="00975C97" w:rsidRPr="005A0718" w:rsidRDefault="00975C97" w:rsidP="00B86150">
            <w:pPr>
              <w:rPr>
                <w:b/>
              </w:rPr>
            </w:pPr>
            <w:r w:rsidRPr="005A0718">
              <w:rPr>
                <w:b/>
              </w:rPr>
              <w:t>Date</w:t>
            </w:r>
          </w:p>
        </w:tc>
        <w:tc>
          <w:tcPr>
            <w:tcW w:w="2917" w:type="dxa"/>
          </w:tcPr>
          <w:p w14:paraId="5321BDE2" w14:textId="77777777" w:rsidR="00975C97" w:rsidRPr="005A0718" w:rsidRDefault="00975C97" w:rsidP="00B86150">
            <w:pPr>
              <w:rPr>
                <w:b/>
              </w:rPr>
            </w:pPr>
            <w:r w:rsidRPr="005A0718">
              <w:rPr>
                <w:b/>
              </w:rPr>
              <w:t>Topic</w:t>
            </w:r>
          </w:p>
        </w:tc>
        <w:tc>
          <w:tcPr>
            <w:tcW w:w="5448" w:type="dxa"/>
          </w:tcPr>
          <w:p w14:paraId="507E66EF" w14:textId="77777777" w:rsidR="00975C97" w:rsidRPr="005A0718" w:rsidRDefault="00975C97" w:rsidP="00B86150">
            <w:pPr>
              <w:rPr>
                <w:b/>
              </w:rPr>
            </w:pPr>
            <w:r w:rsidRPr="005A0718">
              <w:rPr>
                <w:b/>
              </w:rPr>
              <w:t>Work due</w:t>
            </w:r>
          </w:p>
        </w:tc>
      </w:tr>
      <w:tr w:rsidR="00975C97" w:rsidRPr="0020426C" w14:paraId="0BAEB79A" w14:textId="77777777" w:rsidTr="00A22874">
        <w:tc>
          <w:tcPr>
            <w:tcW w:w="985" w:type="dxa"/>
          </w:tcPr>
          <w:p w14:paraId="5570AE59" w14:textId="5621AB1E" w:rsidR="00975C97" w:rsidRPr="0020426C" w:rsidRDefault="00A22874" w:rsidP="00B86150">
            <w:r>
              <w:t xml:space="preserve">M </w:t>
            </w:r>
            <w:r w:rsidR="00975C97">
              <w:t>4/1</w:t>
            </w:r>
          </w:p>
        </w:tc>
        <w:tc>
          <w:tcPr>
            <w:tcW w:w="2917" w:type="dxa"/>
          </w:tcPr>
          <w:p w14:paraId="5EDD7887" w14:textId="77777777" w:rsidR="00975C97" w:rsidRPr="0020426C" w:rsidRDefault="00975C97" w:rsidP="00B86150">
            <w:r w:rsidRPr="0020426C">
              <w:t>Introduction</w:t>
            </w:r>
          </w:p>
          <w:p w14:paraId="7165B7F8" w14:textId="77777777" w:rsidR="00975C97" w:rsidRPr="0020426C" w:rsidRDefault="00975C97" w:rsidP="00B86150"/>
          <w:p w14:paraId="664F98A2" w14:textId="77777777" w:rsidR="00975C97" w:rsidRPr="0020426C" w:rsidRDefault="00975C97" w:rsidP="00B86150">
            <w:r w:rsidRPr="0020426C">
              <w:t>Syllabus review</w:t>
            </w:r>
          </w:p>
          <w:p w14:paraId="169F5C4A" w14:textId="77777777" w:rsidR="00975C97" w:rsidRPr="0020426C" w:rsidRDefault="00975C97" w:rsidP="00B86150"/>
        </w:tc>
        <w:tc>
          <w:tcPr>
            <w:tcW w:w="5448" w:type="dxa"/>
          </w:tcPr>
          <w:p w14:paraId="7AA449C3" w14:textId="77777777" w:rsidR="00975C97" w:rsidRPr="0020426C" w:rsidRDefault="00975C97" w:rsidP="00B86150"/>
        </w:tc>
      </w:tr>
      <w:tr w:rsidR="00975C97" w:rsidRPr="0020426C" w14:paraId="4B882247" w14:textId="77777777" w:rsidTr="00A22874">
        <w:tc>
          <w:tcPr>
            <w:tcW w:w="985" w:type="dxa"/>
          </w:tcPr>
          <w:p w14:paraId="48C648DD" w14:textId="527350B7" w:rsidR="00975C97" w:rsidRPr="0020426C" w:rsidRDefault="00A22874" w:rsidP="00B86150">
            <w:r>
              <w:t xml:space="preserve">W </w:t>
            </w:r>
            <w:r w:rsidR="00975C97">
              <w:t>4/3</w:t>
            </w:r>
          </w:p>
        </w:tc>
        <w:tc>
          <w:tcPr>
            <w:tcW w:w="2917" w:type="dxa"/>
          </w:tcPr>
          <w:p w14:paraId="79E62FC8" w14:textId="77777777" w:rsidR="00975C97" w:rsidRPr="0020426C" w:rsidRDefault="00975C97" w:rsidP="00B86150">
            <w:r w:rsidRPr="0020426C">
              <w:t>The Visual Vocabulary of Contemporary Art</w:t>
            </w:r>
          </w:p>
          <w:p w14:paraId="0EC40245" w14:textId="77777777" w:rsidR="00975C97" w:rsidRPr="0020426C" w:rsidRDefault="00975C97" w:rsidP="00B86150"/>
        </w:tc>
        <w:tc>
          <w:tcPr>
            <w:tcW w:w="5448" w:type="dxa"/>
          </w:tcPr>
          <w:p w14:paraId="1097D93A" w14:textId="2DABD432" w:rsidR="00975C97" w:rsidRDefault="00975C97" w:rsidP="00B86150">
            <w:r w:rsidRPr="0020426C">
              <w:t>Read Williams: pages 9-17</w:t>
            </w:r>
          </w:p>
          <w:p w14:paraId="33F8527D" w14:textId="77777777" w:rsidR="00C56A13" w:rsidRPr="0020426C" w:rsidRDefault="00C56A13" w:rsidP="00B86150"/>
          <w:p w14:paraId="2C75367A" w14:textId="77777777" w:rsidR="00975C97" w:rsidRPr="0020426C" w:rsidRDefault="00975C97" w:rsidP="00B86150">
            <w:r w:rsidRPr="0020426C">
              <w:t>Canvas quiz due Sunday by 11:59pm</w:t>
            </w:r>
          </w:p>
          <w:p w14:paraId="27B7A6D6" w14:textId="77777777" w:rsidR="00975C97" w:rsidRPr="0020426C" w:rsidRDefault="00975C97" w:rsidP="00B86150"/>
        </w:tc>
      </w:tr>
      <w:tr w:rsidR="00975C97" w:rsidRPr="0020426C" w14:paraId="58CD680B" w14:textId="77777777" w:rsidTr="00A22874">
        <w:tc>
          <w:tcPr>
            <w:tcW w:w="985" w:type="dxa"/>
          </w:tcPr>
          <w:p w14:paraId="4097E305" w14:textId="02AF8E58" w:rsidR="00975C97" w:rsidRPr="0020426C" w:rsidRDefault="00A22874" w:rsidP="00B86150">
            <w:r>
              <w:t xml:space="preserve">M </w:t>
            </w:r>
            <w:r w:rsidR="00975C97" w:rsidRPr="0020426C">
              <w:t>4/</w:t>
            </w:r>
            <w:r w:rsidR="00975C97">
              <w:t>8</w:t>
            </w:r>
          </w:p>
        </w:tc>
        <w:tc>
          <w:tcPr>
            <w:tcW w:w="2917" w:type="dxa"/>
          </w:tcPr>
          <w:p w14:paraId="1DED1FDE" w14:textId="77777777" w:rsidR="00975C97" w:rsidRPr="0020426C" w:rsidRDefault="00975C97" w:rsidP="00B86150">
            <w:r w:rsidRPr="0020426C">
              <w:t>Art and the Environment, Part 1</w:t>
            </w:r>
          </w:p>
          <w:p w14:paraId="2CEC5474" w14:textId="77777777" w:rsidR="00975C97" w:rsidRPr="0020426C" w:rsidRDefault="00975C97" w:rsidP="00B86150"/>
        </w:tc>
        <w:tc>
          <w:tcPr>
            <w:tcW w:w="5448" w:type="dxa"/>
          </w:tcPr>
          <w:p w14:paraId="6F0F5329" w14:textId="77777777" w:rsidR="00DB04D7" w:rsidRPr="00D01DA4" w:rsidRDefault="00DB04D7" w:rsidP="00DB04D7">
            <w:pPr>
              <w:rPr>
                <w:sz w:val="20"/>
                <w:szCs w:val="20"/>
              </w:rPr>
            </w:pPr>
            <w:r w:rsidRPr="00D01DA4">
              <w:rPr>
                <w:sz w:val="20"/>
                <w:szCs w:val="20"/>
              </w:rPr>
              <w:t>Recommended reading: Ann Reynolds, “Without Words</w:t>
            </w:r>
          </w:p>
          <w:p w14:paraId="358AD298" w14:textId="51733F06" w:rsidR="00DB04D7" w:rsidRPr="00DB04D7" w:rsidRDefault="00DB04D7" w:rsidP="00DB04D7">
            <w:pPr>
              <w:rPr>
                <w:sz w:val="20"/>
                <w:szCs w:val="20"/>
              </w:rPr>
            </w:pPr>
            <w:r w:rsidRPr="00DB04D7">
              <w:rPr>
                <w:sz w:val="20"/>
                <w:szCs w:val="20"/>
              </w:rPr>
              <w:t>[review of Joan Jonas’s performance</w:t>
            </w:r>
            <w:r w:rsidRPr="00D01DA4">
              <w:rPr>
                <w:sz w:val="20"/>
                <w:szCs w:val="20"/>
              </w:rPr>
              <w:t xml:space="preserve"> </w:t>
            </w:r>
            <w:r w:rsidRPr="00DB04D7">
              <w:rPr>
                <w:sz w:val="20"/>
                <w:szCs w:val="20"/>
              </w:rPr>
              <w:t xml:space="preserve">for the </w:t>
            </w:r>
            <w:r w:rsidRPr="00D01DA4">
              <w:rPr>
                <w:sz w:val="20"/>
                <w:szCs w:val="20"/>
              </w:rPr>
              <w:t xml:space="preserve">2015 </w:t>
            </w:r>
            <w:r w:rsidRPr="00DB04D7">
              <w:rPr>
                <w:sz w:val="20"/>
                <w:szCs w:val="20"/>
              </w:rPr>
              <w:t>U.S. Pavilion at the Venice</w:t>
            </w:r>
          </w:p>
          <w:p w14:paraId="74A7C16D" w14:textId="77777777" w:rsidR="00975C97" w:rsidRPr="00D01DA4" w:rsidRDefault="00DB04D7" w:rsidP="00DB04D7">
            <w:pPr>
              <w:rPr>
                <w:sz w:val="20"/>
                <w:szCs w:val="20"/>
              </w:rPr>
            </w:pPr>
            <w:r w:rsidRPr="00DB04D7">
              <w:rPr>
                <w:sz w:val="20"/>
                <w:szCs w:val="20"/>
              </w:rPr>
              <w:t xml:space="preserve">Biennale],” </w:t>
            </w:r>
            <w:proofErr w:type="spellStart"/>
            <w:r w:rsidRPr="00DB04D7">
              <w:rPr>
                <w:i/>
                <w:sz w:val="20"/>
                <w:szCs w:val="20"/>
              </w:rPr>
              <w:t>Artforum</w:t>
            </w:r>
            <w:proofErr w:type="spellEnd"/>
            <w:r w:rsidRPr="00DB04D7">
              <w:rPr>
                <w:i/>
                <w:sz w:val="20"/>
                <w:szCs w:val="20"/>
              </w:rPr>
              <w:t xml:space="preserve"> </w:t>
            </w:r>
            <w:r w:rsidRPr="00DB04D7">
              <w:rPr>
                <w:sz w:val="20"/>
                <w:szCs w:val="20"/>
              </w:rPr>
              <w:t>(Sept. 2015) 330-</w:t>
            </w:r>
            <w:r w:rsidRPr="00D01DA4">
              <w:rPr>
                <w:sz w:val="20"/>
                <w:szCs w:val="20"/>
              </w:rPr>
              <w:t>33, 408.</w:t>
            </w:r>
          </w:p>
          <w:p w14:paraId="0170A097" w14:textId="45053AA6" w:rsidR="00D01DA4" w:rsidRPr="0020426C" w:rsidRDefault="00D01DA4" w:rsidP="00DB04D7"/>
        </w:tc>
      </w:tr>
      <w:tr w:rsidR="00975C97" w:rsidRPr="0020426C" w14:paraId="0F6712AD" w14:textId="77777777" w:rsidTr="00A22874">
        <w:tc>
          <w:tcPr>
            <w:tcW w:w="985" w:type="dxa"/>
          </w:tcPr>
          <w:p w14:paraId="5B1D47C3" w14:textId="7373ECA4" w:rsidR="00975C97" w:rsidRPr="0020426C" w:rsidRDefault="00A22874" w:rsidP="00B86150">
            <w:r>
              <w:t xml:space="preserve">W </w:t>
            </w:r>
            <w:r w:rsidR="00975C97" w:rsidRPr="0020426C">
              <w:t>4/</w:t>
            </w:r>
            <w:r w:rsidR="00975C97">
              <w:t>10</w:t>
            </w:r>
          </w:p>
        </w:tc>
        <w:tc>
          <w:tcPr>
            <w:tcW w:w="2917" w:type="dxa"/>
          </w:tcPr>
          <w:p w14:paraId="0D56DA03" w14:textId="77777777" w:rsidR="00975C97" w:rsidRPr="0020426C" w:rsidRDefault="00975C97" w:rsidP="00B86150">
            <w:r w:rsidRPr="0020426C">
              <w:t>Art and the Environment, Part 2</w:t>
            </w:r>
          </w:p>
        </w:tc>
        <w:tc>
          <w:tcPr>
            <w:tcW w:w="5448" w:type="dxa"/>
          </w:tcPr>
          <w:p w14:paraId="57F65438" w14:textId="77777777" w:rsidR="00975C97" w:rsidRPr="0020426C" w:rsidRDefault="00975C97" w:rsidP="00B86150">
            <w:r w:rsidRPr="0020426C">
              <w:t>Read Williams: 18-41</w:t>
            </w:r>
          </w:p>
          <w:p w14:paraId="2009CBDA" w14:textId="77777777" w:rsidR="00975C97" w:rsidRPr="0020426C" w:rsidRDefault="00975C97" w:rsidP="00B86150">
            <w:r w:rsidRPr="0020426C">
              <w:t>Canvas quiz due Sunday by 11:59pm</w:t>
            </w:r>
          </w:p>
          <w:p w14:paraId="32DE2610" w14:textId="77777777" w:rsidR="00975C97" w:rsidRPr="0020426C" w:rsidRDefault="00975C97" w:rsidP="00B86150"/>
        </w:tc>
      </w:tr>
      <w:tr w:rsidR="00975C97" w:rsidRPr="0020426C" w14:paraId="625FEDD4" w14:textId="77777777" w:rsidTr="00A22874">
        <w:tc>
          <w:tcPr>
            <w:tcW w:w="985" w:type="dxa"/>
          </w:tcPr>
          <w:p w14:paraId="004428AE" w14:textId="7E4E442A" w:rsidR="00975C97" w:rsidRPr="0020426C" w:rsidRDefault="00A22874" w:rsidP="00B86150">
            <w:r>
              <w:t xml:space="preserve">M </w:t>
            </w:r>
            <w:r w:rsidR="00975C97" w:rsidRPr="0020426C">
              <w:t>4/1</w:t>
            </w:r>
            <w:r w:rsidR="00975C97">
              <w:t>5</w:t>
            </w:r>
          </w:p>
        </w:tc>
        <w:tc>
          <w:tcPr>
            <w:tcW w:w="2917" w:type="dxa"/>
          </w:tcPr>
          <w:p w14:paraId="51D946AB" w14:textId="77777777" w:rsidR="00975C97" w:rsidRPr="0020426C" w:rsidRDefault="00975C97" w:rsidP="00B86150">
            <w:r w:rsidRPr="0020426C">
              <w:t>Art and Protest, Part 1</w:t>
            </w:r>
          </w:p>
        </w:tc>
        <w:tc>
          <w:tcPr>
            <w:tcW w:w="5448" w:type="dxa"/>
          </w:tcPr>
          <w:p w14:paraId="7137A682" w14:textId="1FE39AFF" w:rsidR="00975C97" w:rsidRPr="0020426C" w:rsidRDefault="00375DD2" w:rsidP="00B86150">
            <w:pPr>
              <w:rPr>
                <w:sz w:val="20"/>
                <w:szCs w:val="20"/>
              </w:rPr>
            </w:pPr>
            <w:r w:rsidRPr="00632452">
              <w:rPr>
                <w:u w:val="single"/>
              </w:rPr>
              <w:t>Required</w:t>
            </w:r>
            <w:r>
              <w:t xml:space="preserve"> viewing:</w:t>
            </w:r>
            <w:r w:rsidR="00975C97" w:rsidRPr="0020426C">
              <w:t xml:space="preserve"> </w:t>
            </w:r>
            <w:r w:rsidR="00975C97" w:rsidRPr="0020426C">
              <w:rPr>
                <w:i/>
              </w:rPr>
              <w:t>The Yes Men Are Revolting</w:t>
            </w:r>
            <w:r w:rsidR="00975C97" w:rsidRPr="0020426C">
              <w:t xml:space="preserve">, dir. Andy </w:t>
            </w:r>
            <w:proofErr w:type="spellStart"/>
            <w:r w:rsidR="00975C97" w:rsidRPr="0020426C">
              <w:t>Bichlbaum</w:t>
            </w:r>
            <w:proofErr w:type="spellEnd"/>
            <w:r w:rsidR="00975C97" w:rsidRPr="0020426C">
              <w:t xml:space="preserve"> and Mike </w:t>
            </w:r>
            <w:proofErr w:type="spellStart"/>
            <w:r w:rsidR="00975C97" w:rsidRPr="0020426C">
              <w:t>Bonanno</w:t>
            </w:r>
            <w:proofErr w:type="spellEnd"/>
            <w:r w:rsidR="00975C97" w:rsidRPr="0020426C">
              <w:t xml:space="preserve">, U.S.A., 2015. </w:t>
            </w:r>
            <w:r w:rsidR="00975C97" w:rsidRPr="0020426C">
              <w:rPr>
                <w:sz w:val="20"/>
                <w:szCs w:val="20"/>
              </w:rPr>
              <w:t>Available for purchase</w:t>
            </w:r>
            <w:r w:rsidR="00BD23E4">
              <w:rPr>
                <w:sz w:val="20"/>
                <w:szCs w:val="20"/>
              </w:rPr>
              <w:t xml:space="preserve"> </w:t>
            </w:r>
            <w:r w:rsidR="00975C97" w:rsidRPr="0020426C">
              <w:rPr>
                <w:sz w:val="20"/>
                <w:szCs w:val="20"/>
              </w:rPr>
              <w:t>on platforms including Amazon, iTunes, and Vimeo</w:t>
            </w:r>
            <w:r w:rsidR="00BD23E4">
              <w:rPr>
                <w:sz w:val="20"/>
                <w:szCs w:val="20"/>
              </w:rPr>
              <w:t xml:space="preserve"> </w:t>
            </w:r>
            <w:r w:rsidR="00975C97" w:rsidRPr="0020426C">
              <w:rPr>
                <w:sz w:val="20"/>
                <w:szCs w:val="20"/>
              </w:rPr>
              <w:t>(https://vimeo.com/ondemand/</w:t>
            </w:r>
          </w:p>
          <w:p w14:paraId="7EFBC2E8" w14:textId="038F215D" w:rsidR="00975C97" w:rsidRPr="0020426C" w:rsidRDefault="00975C97" w:rsidP="00B86150">
            <w:pPr>
              <w:rPr>
                <w:sz w:val="20"/>
                <w:szCs w:val="20"/>
              </w:rPr>
            </w:pPr>
            <w:proofErr w:type="spellStart"/>
            <w:r w:rsidRPr="0020426C">
              <w:rPr>
                <w:sz w:val="20"/>
                <w:szCs w:val="20"/>
              </w:rPr>
              <w:t>theyesmenarerevolting</w:t>
            </w:r>
            <w:proofErr w:type="spellEnd"/>
            <w:r w:rsidRPr="0020426C">
              <w:rPr>
                <w:sz w:val="20"/>
                <w:szCs w:val="20"/>
              </w:rPr>
              <w:t>)</w:t>
            </w:r>
            <w:r w:rsidR="00375DD2">
              <w:rPr>
                <w:sz w:val="20"/>
                <w:szCs w:val="20"/>
              </w:rPr>
              <w:t xml:space="preserve"> </w:t>
            </w:r>
          </w:p>
          <w:p w14:paraId="1B713DE3" w14:textId="77777777" w:rsidR="00975C97" w:rsidRPr="0020426C" w:rsidRDefault="00975C97" w:rsidP="00B86150"/>
        </w:tc>
      </w:tr>
      <w:tr w:rsidR="00975C97" w:rsidRPr="0020426C" w14:paraId="4919EA59" w14:textId="77777777" w:rsidTr="00A22874">
        <w:tc>
          <w:tcPr>
            <w:tcW w:w="985" w:type="dxa"/>
          </w:tcPr>
          <w:p w14:paraId="1533B8FB" w14:textId="7DD044D9" w:rsidR="00975C97" w:rsidRPr="0020426C" w:rsidRDefault="00A22874" w:rsidP="00B86150">
            <w:r>
              <w:t xml:space="preserve">W </w:t>
            </w:r>
            <w:r w:rsidR="00975C97" w:rsidRPr="0020426C">
              <w:t>4/1</w:t>
            </w:r>
            <w:r w:rsidR="00975C97">
              <w:t>7</w:t>
            </w:r>
          </w:p>
        </w:tc>
        <w:tc>
          <w:tcPr>
            <w:tcW w:w="2917" w:type="dxa"/>
          </w:tcPr>
          <w:p w14:paraId="7C4C3C4A" w14:textId="77777777" w:rsidR="00975C97" w:rsidRPr="0020426C" w:rsidRDefault="00975C97" w:rsidP="00B86150">
            <w:r w:rsidRPr="0020426C">
              <w:t>Art and Protest, Part 2</w:t>
            </w:r>
          </w:p>
        </w:tc>
        <w:tc>
          <w:tcPr>
            <w:tcW w:w="5448" w:type="dxa"/>
          </w:tcPr>
          <w:p w14:paraId="13B1CB30" w14:textId="77777777" w:rsidR="00975C97" w:rsidRPr="00FF7D69" w:rsidRDefault="00975C97" w:rsidP="00B86150">
            <w:r w:rsidRPr="00FF7D69">
              <w:t>Paper #1 due on Friday April 19</w:t>
            </w:r>
            <w:r w:rsidRPr="00FF7D69">
              <w:rPr>
                <w:vertAlign w:val="superscript"/>
              </w:rPr>
              <w:t>th</w:t>
            </w:r>
            <w:r w:rsidRPr="00FF7D69">
              <w:t xml:space="preserve"> at 11am via Canvas</w:t>
            </w:r>
          </w:p>
          <w:p w14:paraId="26CC9DEC" w14:textId="144E60A3" w:rsidR="00975C97" w:rsidRPr="0020426C" w:rsidRDefault="00975C97" w:rsidP="00B86150">
            <w:r w:rsidRPr="00FF7D69">
              <w:t xml:space="preserve">Canvas quiz due Sunday by 11:59pm </w:t>
            </w:r>
          </w:p>
          <w:p w14:paraId="12D32407" w14:textId="77777777" w:rsidR="00975C97" w:rsidRPr="0020426C" w:rsidRDefault="00975C97" w:rsidP="00B86150"/>
        </w:tc>
      </w:tr>
      <w:tr w:rsidR="00975C97" w:rsidRPr="0020426C" w14:paraId="6114E116" w14:textId="77777777" w:rsidTr="00A22874">
        <w:tc>
          <w:tcPr>
            <w:tcW w:w="985" w:type="dxa"/>
          </w:tcPr>
          <w:p w14:paraId="02402EF4" w14:textId="04E36B04" w:rsidR="00975C97" w:rsidRPr="0020426C" w:rsidRDefault="00A22874" w:rsidP="00B86150">
            <w:r>
              <w:t xml:space="preserve">M </w:t>
            </w:r>
            <w:r w:rsidR="00975C97" w:rsidRPr="0020426C">
              <w:t>4/</w:t>
            </w:r>
            <w:r w:rsidR="00975C97">
              <w:t>22</w:t>
            </w:r>
          </w:p>
        </w:tc>
        <w:tc>
          <w:tcPr>
            <w:tcW w:w="2917" w:type="dxa"/>
          </w:tcPr>
          <w:p w14:paraId="7355F937" w14:textId="77777777" w:rsidR="00975C97" w:rsidRPr="0020426C" w:rsidRDefault="00975C97" w:rsidP="00B86150">
            <w:r w:rsidRPr="0020426C">
              <w:t>Gender and Sexuality, Part 1: Feminist Art and Feminist Politics</w:t>
            </w:r>
          </w:p>
          <w:p w14:paraId="4446A420" w14:textId="77777777" w:rsidR="00975C97" w:rsidRPr="0020426C" w:rsidRDefault="00975C97" w:rsidP="00B86150"/>
        </w:tc>
        <w:tc>
          <w:tcPr>
            <w:tcW w:w="5448" w:type="dxa"/>
          </w:tcPr>
          <w:p w14:paraId="651334D1" w14:textId="62963E5B" w:rsidR="00975C97" w:rsidRDefault="00B90479" w:rsidP="00B86150">
            <w:pPr>
              <w:rPr>
                <w:sz w:val="20"/>
                <w:szCs w:val="20"/>
              </w:rPr>
            </w:pPr>
            <w:r>
              <w:rPr>
                <w:sz w:val="20"/>
                <w:szCs w:val="20"/>
              </w:rPr>
              <w:lastRenderedPageBreak/>
              <w:t xml:space="preserve">Recommended reading: </w:t>
            </w:r>
            <w:proofErr w:type="spellStart"/>
            <w:r>
              <w:rPr>
                <w:sz w:val="20"/>
                <w:szCs w:val="20"/>
              </w:rPr>
              <w:t>Jasmina</w:t>
            </w:r>
            <w:proofErr w:type="spellEnd"/>
            <w:r>
              <w:rPr>
                <w:sz w:val="20"/>
                <w:szCs w:val="20"/>
              </w:rPr>
              <w:t xml:space="preserve"> </w:t>
            </w:r>
            <w:proofErr w:type="spellStart"/>
            <w:r>
              <w:rPr>
                <w:sz w:val="20"/>
                <w:szCs w:val="20"/>
              </w:rPr>
              <w:t>Tumbas</w:t>
            </w:r>
            <w:proofErr w:type="spellEnd"/>
            <w:r>
              <w:rPr>
                <w:sz w:val="20"/>
                <w:szCs w:val="20"/>
              </w:rPr>
              <w:t xml:space="preserve">, “Yugonostalgia,” </w:t>
            </w:r>
            <w:r>
              <w:rPr>
                <w:i/>
                <w:sz w:val="20"/>
                <w:szCs w:val="20"/>
              </w:rPr>
              <w:t xml:space="preserve">Art Monthly </w:t>
            </w:r>
            <w:r>
              <w:rPr>
                <w:sz w:val="20"/>
                <w:szCs w:val="20"/>
              </w:rPr>
              <w:t>425</w:t>
            </w:r>
            <w:r>
              <w:rPr>
                <w:i/>
                <w:sz w:val="20"/>
                <w:szCs w:val="20"/>
              </w:rPr>
              <w:t xml:space="preserve"> </w:t>
            </w:r>
            <w:r>
              <w:rPr>
                <w:sz w:val="20"/>
                <w:szCs w:val="20"/>
              </w:rPr>
              <w:t xml:space="preserve">(April 2019): 6-10. </w:t>
            </w:r>
          </w:p>
          <w:p w14:paraId="38E3219F" w14:textId="7C8D9C96" w:rsidR="00113152" w:rsidRDefault="00113152" w:rsidP="00B86150">
            <w:pPr>
              <w:rPr>
                <w:sz w:val="20"/>
                <w:szCs w:val="20"/>
              </w:rPr>
            </w:pPr>
          </w:p>
          <w:p w14:paraId="47444431" w14:textId="3A02EEA4" w:rsidR="00113152" w:rsidRPr="00113152" w:rsidRDefault="00113152" w:rsidP="00113152">
            <w:pPr>
              <w:rPr>
                <w:sz w:val="20"/>
                <w:szCs w:val="20"/>
              </w:rPr>
            </w:pPr>
            <w:r>
              <w:rPr>
                <w:sz w:val="20"/>
                <w:szCs w:val="20"/>
              </w:rPr>
              <w:lastRenderedPageBreak/>
              <w:t xml:space="preserve">Amelia Jones, “Carolee </w:t>
            </w:r>
            <w:proofErr w:type="spellStart"/>
            <w:r>
              <w:rPr>
                <w:sz w:val="20"/>
                <w:szCs w:val="20"/>
              </w:rPr>
              <w:t>Schneeman</w:t>
            </w:r>
            <w:proofErr w:type="spellEnd"/>
            <w:r>
              <w:rPr>
                <w:sz w:val="20"/>
                <w:szCs w:val="20"/>
              </w:rPr>
              <w:t>: The Artist Who Taught Us How to Live</w:t>
            </w:r>
            <w:r w:rsidR="00E72FB3">
              <w:rPr>
                <w:sz w:val="20"/>
                <w:szCs w:val="20"/>
              </w:rPr>
              <w:t xml:space="preserve"> [obituary]</w:t>
            </w:r>
            <w:r>
              <w:rPr>
                <w:sz w:val="20"/>
                <w:szCs w:val="20"/>
              </w:rPr>
              <w:t xml:space="preserve">,” </w:t>
            </w:r>
            <w:r>
              <w:rPr>
                <w:i/>
                <w:sz w:val="20"/>
                <w:szCs w:val="20"/>
              </w:rPr>
              <w:t xml:space="preserve">The Guardian </w:t>
            </w:r>
            <w:r>
              <w:rPr>
                <w:sz w:val="20"/>
                <w:szCs w:val="20"/>
              </w:rPr>
              <w:t xml:space="preserve">(Friday, March 8, 2019), </w:t>
            </w:r>
            <w:hyperlink r:id="rId9" w:history="1">
              <w:r w:rsidRPr="00113152">
                <w:rPr>
                  <w:rStyle w:val="Hyperlink"/>
                  <w:sz w:val="20"/>
                  <w:szCs w:val="20"/>
                </w:rPr>
                <w:t>https://www.theguardian.com/artanddesign/2019/mar/08/carolee-schneeman-performance-artist-taught-us-how-to-live</w:t>
              </w:r>
            </w:hyperlink>
            <w:r>
              <w:rPr>
                <w:sz w:val="20"/>
                <w:szCs w:val="20"/>
              </w:rPr>
              <w:t>.</w:t>
            </w:r>
          </w:p>
          <w:p w14:paraId="5FBD1FCD" w14:textId="288653C7" w:rsidR="00113152" w:rsidRPr="00113152" w:rsidRDefault="00113152" w:rsidP="00B86150">
            <w:pPr>
              <w:rPr>
                <w:sz w:val="20"/>
                <w:szCs w:val="20"/>
              </w:rPr>
            </w:pPr>
          </w:p>
          <w:p w14:paraId="2CDE23EC" w14:textId="77777777" w:rsidR="00975C97" w:rsidRPr="0020426C" w:rsidRDefault="00975C97" w:rsidP="00B86150"/>
        </w:tc>
      </w:tr>
      <w:tr w:rsidR="00975C97" w:rsidRPr="0020426C" w14:paraId="31181509" w14:textId="77777777" w:rsidTr="00A22874">
        <w:tc>
          <w:tcPr>
            <w:tcW w:w="985" w:type="dxa"/>
          </w:tcPr>
          <w:p w14:paraId="790BE65A" w14:textId="78F2459B" w:rsidR="00975C97" w:rsidRPr="0020426C" w:rsidRDefault="00A22874" w:rsidP="00B86150">
            <w:r>
              <w:lastRenderedPageBreak/>
              <w:t xml:space="preserve">W </w:t>
            </w:r>
            <w:r w:rsidR="00975C97" w:rsidRPr="0020426C">
              <w:t>4/</w:t>
            </w:r>
            <w:r w:rsidR="00975C97">
              <w:t>24</w:t>
            </w:r>
          </w:p>
        </w:tc>
        <w:tc>
          <w:tcPr>
            <w:tcW w:w="2917" w:type="dxa"/>
          </w:tcPr>
          <w:p w14:paraId="5890F0F9" w14:textId="77777777" w:rsidR="00975C97" w:rsidRPr="00FC4DA4" w:rsidRDefault="00975C97" w:rsidP="00B86150">
            <w:pPr>
              <w:rPr>
                <w:b/>
              </w:rPr>
            </w:pPr>
            <w:r>
              <w:rPr>
                <w:b/>
              </w:rPr>
              <w:t xml:space="preserve">Visiting Artist: Granite </w:t>
            </w:r>
            <w:proofErr w:type="spellStart"/>
            <w:r>
              <w:rPr>
                <w:b/>
              </w:rPr>
              <w:t>Calimpong</w:t>
            </w:r>
            <w:proofErr w:type="spellEnd"/>
          </w:p>
          <w:p w14:paraId="4B79580C" w14:textId="77777777" w:rsidR="00975C97" w:rsidRDefault="00975C97" w:rsidP="00B86150"/>
          <w:p w14:paraId="0933AB2A" w14:textId="77777777" w:rsidR="00975C97" w:rsidRDefault="00975C97" w:rsidP="00B86150"/>
          <w:p w14:paraId="1E3A25D4" w14:textId="77777777" w:rsidR="00975C97" w:rsidRPr="0020426C" w:rsidRDefault="00975C97" w:rsidP="00B86150"/>
        </w:tc>
        <w:tc>
          <w:tcPr>
            <w:tcW w:w="5448" w:type="dxa"/>
          </w:tcPr>
          <w:p w14:paraId="37C9F901" w14:textId="77777777" w:rsidR="00975C97" w:rsidRPr="0020426C" w:rsidRDefault="00975C97" w:rsidP="00B86150">
            <w:r w:rsidRPr="0020426C">
              <w:t>Read Williams: pp. 41-68</w:t>
            </w:r>
          </w:p>
          <w:p w14:paraId="5A625DAC" w14:textId="77777777" w:rsidR="00975C97" w:rsidRPr="0020426C" w:rsidRDefault="00975C97" w:rsidP="00B86150">
            <w:r w:rsidRPr="0020426C">
              <w:t>Canvas quiz due Sunday by 11:59pm</w:t>
            </w:r>
          </w:p>
          <w:p w14:paraId="0AB0862D" w14:textId="77777777" w:rsidR="00975C97" w:rsidRPr="0020426C" w:rsidRDefault="00975C97" w:rsidP="00B86150"/>
        </w:tc>
      </w:tr>
      <w:tr w:rsidR="00975C97" w:rsidRPr="0020426C" w14:paraId="01FC7D9D" w14:textId="77777777" w:rsidTr="00A22874">
        <w:tc>
          <w:tcPr>
            <w:tcW w:w="985" w:type="dxa"/>
          </w:tcPr>
          <w:p w14:paraId="03EBC5F3" w14:textId="2445A6D4" w:rsidR="00975C97" w:rsidRPr="0020426C" w:rsidRDefault="00A22874" w:rsidP="00B86150">
            <w:r>
              <w:t xml:space="preserve">M </w:t>
            </w:r>
            <w:r w:rsidR="00975C97" w:rsidRPr="0020426C">
              <w:t>4/2</w:t>
            </w:r>
            <w:r w:rsidR="00975C97">
              <w:t>9</w:t>
            </w:r>
          </w:p>
        </w:tc>
        <w:tc>
          <w:tcPr>
            <w:tcW w:w="2917" w:type="dxa"/>
          </w:tcPr>
          <w:p w14:paraId="0715C04A" w14:textId="77777777" w:rsidR="00975C97" w:rsidRDefault="00975C97" w:rsidP="00B86150">
            <w:r w:rsidRPr="0020426C">
              <w:t>Gender and Sexuality, Part 2: Queer Desire and Creativity</w:t>
            </w:r>
          </w:p>
          <w:p w14:paraId="687E9585" w14:textId="77777777" w:rsidR="00975C97" w:rsidRDefault="00975C97" w:rsidP="00B86150"/>
          <w:p w14:paraId="5B3B09D3" w14:textId="77777777" w:rsidR="00975C97" w:rsidRPr="0020426C" w:rsidRDefault="00975C97" w:rsidP="00B86150"/>
        </w:tc>
        <w:tc>
          <w:tcPr>
            <w:tcW w:w="5448" w:type="dxa"/>
          </w:tcPr>
          <w:p w14:paraId="02F4BCD2" w14:textId="77777777" w:rsidR="00975C97" w:rsidRPr="0020426C" w:rsidRDefault="00975C97" w:rsidP="00B86150"/>
        </w:tc>
      </w:tr>
      <w:tr w:rsidR="00975C97" w:rsidRPr="0020426C" w14:paraId="1CBCD26F" w14:textId="77777777" w:rsidTr="00A22874">
        <w:tc>
          <w:tcPr>
            <w:tcW w:w="985" w:type="dxa"/>
          </w:tcPr>
          <w:p w14:paraId="4E6BA1CA" w14:textId="54B9486B" w:rsidR="00975C97" w:rsidRPr="0020426C" w:rsidRDefault="00A22874" w:rsidP="00B86150">
            <w:r>
              <w:t xml:space="preserve">W </w:t>
            </w:r>
            <w:r w:rsidR="00975C97">
              <w:t>5/1</w:t>
            </w:r>
          </w:p>
        </w:tc>
        <w:tc>
          <w:tcPr>
            <w:tcW w:w="2917" w:type="dxa"/>
          </w:tcPr>
          <w:p w14:paraId="122AA43D" w14:textId="77777777" w:rsidR="00975C97" w:rsidRPr="009B61F2" w:rsidRDefault="00975C97" w:rsidP="00B86150">
            <w:pPr>
              <w:rPr>
                <w:b/>
              </w:rPr>
            </w:pPr>
            <w:r>
              <w:rPr>
                <w:b/>
              </w:rPr>
              <w:t>Visiting Artist: Barbara Earl Thomas</w:t>
            </w:r>
          </w:p>
          <w:p w14:paraId="08EB6C8A" w14:textId="77777777" w:rsidR="00975C97" w:rsidRDefault="00975C97" w:rsidP="00B86150"/>
          <w:p w14:paraId="4AAF9C56" w14:textId="77777777" w:rsidR="00975C97" w:rsidRDefault="00975C97" w:rsidP="00B86150"/>
          <w:p w14:paraId="4E0D5D8B" w14:textId="77777777" w:rsidR="00975C97" w:rsidRDefault="00975C97" w:rsidP="00B86150"/>
          <w:p w14:paraId="71CA7037" w14:textId="77777777" w:rsidR="00975C97" w:rsidRPr="0020426C" w:rsidRDefault="00975C97" w:rsidP="00B86150"/>
        </w:tc>
        <w:tc>
          <w:tcPr>
            <w:tcW w:w="5448" w:type="dxa"/>
          </w:tcPr>
          <w:p w14:paraId="7E3FDC32" w14:textId="77777777" w:rsidR="00975C97" w:rsidRPr="0020426C" w:rsidRDefault="00975C97" w:rsidP="00B86150">
            <w:r w:rsidRPr="0020426C">
              <w:t>Read Williams: 68-105</w:t>
            </w:r>
          </w:p>
          <w:p w14:paraId="72EF71DB" w14:textId="77777777" w:rsidR="00975C97" w:rsidRPr="0020426C" w:rsidRDefault="00975C97" w:rsidP="00B86150">
            <w:r w:rsidRPr="0020426C">
              <w:t>Canvas quiz due Sunday by 11:59pm</w:t>
            </w:r>
          </w:p>
          <w:p w14:paraId="66EFDCF6" w14:textId="77777777" w:rsidR="00975C97" w:rsidRDefault="00975C97" w:rsidP="00B86150"/>
          <w:p w14:paraId="1AFCB3B1" w14:textId="77777777" w:rsidR="00975C97" w:rsidRPr="0020426C" w:rsidRDefault="00975C97" w:rsidP="00B86150">
            <w:r>
              <w:t>Writing diary first submission due Friday, May 3</w:t>
            </w:r>
            <w:r w:rsidRPr="002A0E84">
              <w:rPr>
                <w:vertAlign w:val="superscript"/>
              </w:rPr>
              <w:t>rd</w:t>
            </w:r>
            <w:r>
              <w:t xml:space="preserve"> at 11am via Canvas</w:t>
            </w:r>
          </w:p>
          <w:p w14:paraId="6B865D79" w14:textId="77777777" w:rsidR="00975C97" w:rsidRPr="0020426C" w:rsidRDefault="00975C97" w:rsidP="00B86150"/>
        </w:tc>
      </w:tr>
      <w:tr w:rsidR="00975C97" w:rsidRPr="0020426C" w14:paraId="63AD4680" w14:textId="77777777" w:rsidTr="00A22874">
        <w:tc>
          <w:tcPr>
            <w:tcW w:w="985" w:type="dxa"/>
          </w:tcPr>
          <w:p w14:paraId="12E1C052" w14:textId="49560156" w:rsidR="00975C97" w:rsidRPr="0020426C" w:rsidRDefault="00A22874" w:rsidP="00B86150">
            <w:r>
              <w:t xml:space="preserve">M </w:t>
            </w:r>
            <w:r w:rsidR="00975C97" w:rsidRPr="0020426C">
              <w:t>5/</w:t>
            </w:r>
            <w:r w:rsidR="00975C97">
              <w:t>6</w:t>
            </w:r>
          </w:p>
        </w:tc>
        <w:tc>
          <w:tcPr>
            <w:tcW w:w="2917" w:type="dxa"/>
          </w:tcPr>
          <w:p w14:paraId="799BD504" w14:textId="77777777" w:rsidR="00975C97" w:rsidRPr="0020426C" w:rsidRDefault="00975C97" w:rsidP="00B86150">
            <w:r>
              <w:t>Race and Ethnicity, Part 1</w:t>
            </w:r>
          </w:p>
          <w:p w14:paraId="6A47E260" w14:textId="77777777" w:rsidR="00975C97" w:rsidRDefault="00975C97" w:rsidP="00B86150"/>
          <w:p w14:paraId="62C47AAE" w14:textId="77777777" w:rsidR="00975C97" w:rsidRDefault="00975C97" w:rsidP="00B86150"/>
          <w:p w14:paraId="26A33E14" w14:textId="77777777" w:rsidR="00975C97" w:rsidRPr="0020426C" w:rsidRDefault="00975C97" w:rsidP="00B86150"/>
        </w:tc>
        <w:tc>
          <w:tcPr>
            <w:tcW w:w="5448" w:type="dxa"/>
          </w:tcPr>
          <w:p w14:paraId="7E5005E3" w14:textId="77777777" w:rsidR="00975C97" w:rsidRPr="009C2C96" w:rsidRDefault="009C2C96" w:rsidP="00B86150">
            <w:pPr>
              <w:rPr>
                <w:sz w:val="20"/>
                <w:szCs w:val="20"/>
              </w:rPr>
            </w:pPr>
            <w:r w:rsidRPr="009C2C96">
              <w:rPr>
                <w:sz w:val="20"/>
                <w:szCs w:val="20"/>
              </w:rPr>
              <w:t xml:space="preserve">Recommended reading: </w:t>
            </w:r>
          </w:p>
          <w:p w14:paraId="16027730" w14:textId="182837C5" w:rsidR="009C2C96" w:rsidRPr="009C2C96" w:rsidRDefault="009C2C96" w:rsidP="009C2C96">
            <w:pPr>
              <w:autoSpaceDE w:val="0"/>
              <w:autoSpaceDN w:val="0"/>
              <w:adjustRightInd w:val="0"/>
              <w:rPr>
                <w:color w:val="000000"/>
                <w:sz w:val="20"/>
                <w:szCs w:val="20"/>
              </w:rPr>
            </w:pPr>
            <w:r w:rsidRPr="009C2C96">
              <w:rPr>
                <w:color w:val="000000"/>
                <w:sz w:val="20"/>
                <w:szCs w:val="20"/>
              </w:rPr>
              <w:t xml:space="preserve">Mostafa </w:t>
            </w:r>
            <w:proofErr w:type="spellStart"/>
            <w:r w:rsidRPr="009C2C96">
              <w:rPr>
                <w:color w:val="000000"/>
                <w:sz w:val="20"/>
                <w:szCs w:val="20"/>
              </w:rPr>
              <w:t>Heddaya</w:t>
            </w:r>
            <w:proofErr w:type="spellEnd"/>
            <w:r w:rsidRPr="009C2C96">
              <w:rPr>
                <w:color w:val="000000"/>
                <w:sz w:val="20"/>
                <w:szCs w:val="20"/>
              </w:rPr>
              <w:t>, “Artist Collective</w:t>
            </w:r>
            <w:r>
              <w:rPr>
                <w:color w:val="000000"/>
                <w:sz w:val="20"/>
                <w:szCs w:val="20"/>
              </w:rPr>
              <w:t xml:space="preserve"> </w:t>
            </w:r>
            <w:r w:rsidRPr="009C2C96">
              <w:rPr>
                <w:color w:val="000000"/>
                <w:sz w:val="20"/>
                <w:szCs w:val="20"/>
              </w:rPr>
              <w:t>Withdraws from Whitney Biennial,”</w:t>
            </w:r>
            <w:r>
              <w:rPr>
                <w:color w:val="000000"/>
                <w:sz w:val="20"/>
                <w:szCs w:val="20"/>
              </w:rPr>
              <w:t xml:space="preserve"> </w:t>
            </w:r>
            <w:r w:rsidRPr="009C2C96">
              <w:rPr>
                <w:i/>
                <w:color w:val="000000"/>
                <w:sz w:val="20"/>
                <w:szCs w:val="20"/>
              </w:rPr>
              <w:t>Hyperallergic</w:t>
            </w:r>
            <w:r w:rsidRPr="009C2C96">
              <w:rPr>
                <w:color w:val="000000"/>
                <w:sz w:val="20"/>
                <w:szCs w:val="20"/>
              </w:rPr>
              <w:t xml:space="preserve"> (May 14, 2014),</w:t>
            </w:r>
          </w:p>
          <w:p w14:paraId="4B1A0281" w14:textId="6BF64678" w:rsidR="009C2C96" w:rsidRPr="00113152" w:rsidRDefault="00224856" w:rsidP="009C2C96">
            <w:pPr>
              <w:autoSpaceDE w:val="0"/>
              <w:autoSpaceDN w:val="0"/>
              <w:adjustRightInd w:val="0"/>
              <w:rPr>
                <w:color w:val="000000" w:themeColor="text1"/>
                <w:sz w:val="20"/>
                <w:szCs w:val="20"/>
              </w:rPr>
            </w:pPr>
            <w:hyperlink r:id="rId10" w:history="1">
              <w:r w:rsidR="00113152" w:rsidRPr="00EF75B9">
                <w:rPr>
                  <w:rStyle w:val="Hyperlink"/>
                  <w:sz w:val="20"/>
                  <w:szCs w:val="20"/>
                </w:rPr>
                <w:t>http://hyperallergic.com/126420/artistcollective-withdraws-from-whitneybiennial/</w:t>
              </w:r>
            </w:hyperlink>
            <w:r w:rsidR="009C2C96" w:rsidRPr="00113152">
              <w:rPr>
                <w:color w:val="000000" w:themeColor="text1"/>
                <w:sz w:val="20"/>
                <w:szCs w:val="20"/>
              </w:rPr>
              <w:t>.</w:t>
            </w:r>
          </w:p>
          <w:p w14:paraId="246F61DF" w14:textId="004E9AD3" w:rsidR="009C2C96" w:rsidRPr="00113152" w:rsidRDefault="009C2C96" w:rsidP="00113152">
            <w:pPr>
              <w:autoSpaceDE w:val="0"/>
              <w:autoSpaceDN w:val="0"/>
              <w:adjustRightInd w:val="0"/>
              <w:rPr>
                <w:color w:val="000000" w:themeColor="text1"/>
                <w:sz w:val="20"/>
                <w:szCs w:val="20"/>
              </w:rPr>
            </w:pPr>
            <w:r w:rsidRPr="00113152">
              <w:rPr>
                <w:color w:val="000000" w:themeColor="text1"/>
                <w:sz w:val="20"/>
                <w:szCs w:val="20"/>
              </w:rPr>
              <w:t>Ryan Wong, “I am Joe Scanlan,”</w:t>
            </w:r>
            <w:r w:rsidR="009848FA" w:rsidRPr="00113152">
              <w:rPr>
                <w:color w:val="000000" w:themeColor="text1"/>
                <w:sz w:val="20"/>
                <w:szCs w:val="20"/>
              </w:rPr>
              <w:t xml:space="preserve"> </w:t>
            </w:r>
            <w:r w:rsidRPr="00113152">
              <w:rPr>
                <w:i/>
                <w:color w:val="000000" w:themeColor="text1"/>
                <w:sz w:val="20"/>
                <w:szCs w:val="20"/>
              </w:rPr>
              <w:t xml:space="preserve">Hyperallergic </w:t>
            </w:r>
            <w:r w:rsidRPr="00113152">
              <w:rPr>
                <w:color w:val="000000" w:themeColor="text1"/>
                <w:sz w:val="20"/>
                <w:szCs w:val="20"/>
              </w:rPr>
              <w:t>(June 17, 2014),</w:t>
            </w:r>
            <w:r w:rsidR="009848FA" w:rsidRPr="00113152">
              <w:rPr>
                <w:color w:val="000000" w:themeColor="text1"/>
                <w:sz w:val="20"/>
                <w:szCs w:val="20"/>
              </w:rPr>
              <w:t xml:space="preserve"> </w:t>
            </w:r>
            <w:hyperlink r:id="rId11" w:history="1">
              <w:r w:rsidR="00113152" w:rsidRPr="00EF75B9">
                <w:rPr>
                  <w:rStyle w:val="Hyperlink"/>
                  <w:sz w:val="20"/>
                  <w:szCs w:val="20"/>
                </w:rPr>
                <w:t>http://hyperallergic.com/131687/i-amjoe-scanlan/</w:t>
              </w:r>
            </w:hyperlink>
            <w:r w:rsidR="00113152">
              <w:rPr>
                <w:color w:val="000000" w:themeColor="text1"/>
                <w:sz w:val="20"/>
                <w:szCs w:val="20"/>
              </w:rPr>
              <w:t xml:space="preserve"> </w:t>
            </w:r>
            <w:r w:rsidRPr="00113152">
              <w:rPr>
                <w:color w:val="000000" w:themeColor="text1"/>
                <w:sz w:val="20"/>
                <w:szCs w:val="20"/>
              </w:rPr>
              <w:t xml:space="preserve">. </w:t>
            </w:r>
          </w:p>
          <w:p w14:paraId="5F914913" w14:textId="174746AF" w:rsidR="009848FA" w:rsidRPr="0020426C" w:rsidRDefault="009848FA" w:rsidP="009C2C96"/>
        </w:tc>
      </w:tr>
      <w:tr w:rsidR="00975C97" w:rsidRPr="0020426C" w14:paraId="0B6C53B8" w14:textId="77777777" w:rsidTr="00A22874">
        <w:tc>
          <w:tcPr>
            <w:tcW w:w="985" w:type="dxa"/>
          </w:tcPr>
          <w:p w14:paraId="09768C39" w14:textId="199E5394" w:rsidR="00975C97" w:rsidRPr="0020426C" w:rsidRDefault="00A22874" w:rsidP="00B86150">
            <w:r>
              <w:t xml:space="preserve">W </w:t>
            </w:r>
            <w:r w:rsidR="00975C97" w:rsidRPr="0020426C">
              <w:t>5/</w:t>
            </w:r>
            <w:r w:rsidR="00975C97">
              <w:t>8</w:t>
            </w:r>
          </w:p>
        </w:tc>
        <w:tc>
          <w:tcPr>
            <w:tcW w:w="2917" w:type="dxa"/>
          </w:tcPr>
          <w:p w14:paraId="23EE1384" w14:textId="77777777" w:rsidR="00975C97" w:rsidRDefault="00975C97" w:rsidP="00B86150">
            <w:r>
              <w:t>Race and Ethnicity, Part 2</w:t>
            </w:r>
          </w:p>
          <w:p w14:paraId="7F6F7A41" w14:textId="77777777" w:rsidR="00975C97" w:rsidRPr="0020426C" w:rsidRDefault="00975C97" w:rsidP="00B86150"/>
        </w:tc>
        <w:tc>
          <w:tcPr>
            <w:tcW w:w="5448" w:type="dxa"/>
          </w:tcPr>
          <w:p w14:paraId="72B1FE81" w14:textId="77777777" w:rsidR="00975C97" w:rsidRPr="0020426C" w:rsidRDefault="00975C97" w:rsidP="00B86150">
            <w:r w:rsidRPr="0020426C">
              <w:t>Read Williams: 106-25</w:t>
            </w:r>
          </w:p>
          <w:p w14:paraId="317D9479" w14:textId="2DAB6C83" w:rsidR="00975C97" w:rsidRDefault="00975C97" w:rsidP="00B86150">
            <w:r w:rsidRPr="0020426C">
              <w:t>Canvas quiz due Sunday by 11:59pm</w:t>
            </w:r>
          </w:p>
          <w:p w14:paraId="246EB70E" w14:textId="46716948" w:rsidR="009C2C96" w:rsidRDefault="009C2C96" w:rsidP="00B86150"/>
          <w:p w14:paraId="07E0B6CB" w14:textId="77777777" w:rsidR="009C2C96" w:rsidRPr="0020426C" w:rsidRDefault="009C2C96" w:rsidP="00B86150"/>
          <w:p w14:paraId="39B5B84E" w14:textId="77777777" w:rsidR="00975C97" w:rsidRPr="0020426C" w:rsidRDefault="00975C97" w:rsidP="00B86150"/>
        </w:tc>
      </w:tr>
      <w:tr w:rsidR="00975C97" w:rsidRPr="0020426C" w14:paraId="6BE950D4" w14:textId="77777777" w:rsidTr="00A22874">
        <w:tc>
          <w:tcPr>
            <w:tcW w:w="985" w:type="dxa"/>
          </w:tcPr>
          <w:p w14:paraId="55D462FA" w14:textId="1167C814" w:rsidR="00975C97" w:rsidRPr="0020426C" w:rsidRDefault="00A22874" w:rsidP="00B86150">
            <w:r>
              <w:t xml:space="preserve">M </w:t>
            </w:r>
            <w:r w:rsidR="00975C97" w:rsidRPr="0020426C">
              <w:t>5/</w:t>
            </w:r>
            <w:r w:rsidR="00975C97">
              <w:t>13</w:t>
            </w:r>
          </w:p>
        </w:tc>
        <w:tc>
          <w:tcPr>
            <w:tcW w:w="2917" w:type="dxa"/>
          </w:tcPr>
          <w:p w14:paraId="4FE6064F" w14:textId="77777777" w:rsidR="00975C97" w:rsidRPr="0020426C" w:rsidRDefault="00975C97" w:rsidP="00B86150">
            <w:r>
              <w:t>Art and War, Part 1</w:t>
            </w:r>
          </w:p>
          <w:p w14:paraId="468CD758" w14:textId="77777777" w:rsidR="00975C97" w:rsidRPr="0020426C" w:rsidRDefault="00975C97" w:rsidP="00B86150"/>
        </w:tc>
        <w:tc>
          <w:tcPr>
            <w:tcW w:w="5448" w:type="dxa"/>
          </w:tcPr>
          <w:p w14:paraId="242E3239" w14:textId="37081882" w:rsidR="00975C97" w:rsidRPr="0020426C" w:rsidRDefault="00975C97" w:rsidP="00B86150">
            <w:r w:rsidRPr="0020426C">
              <w:t xml:space="preserve">Paper #1 revision due on Tuesday May 8th at </w:t>
            </w:r>
            <w:r w:rsidR="002A72C8">
              <w:t>11</w:t>
            </w:r>
            <w:r w:rsidRPr="0020426C">
              <w:t>:00am via Canvas</w:t>
            </w:r>
          </w:p>
          <w:p w14:paraId="5F70530F" w14:textId="77777777" w:rsidR="00975C97" w:rsidRDefault="00975C97" w:rsidP="00B86150"/>
          <w:p w14:paraId="385E05D6" w14:textId="7E38482E" w:rsidR="009D196E" w:rsidRPr="003C2F46" w:rsidRDefault="009D196E" w:rsidP="009D196E">
            <w:pPr>
              <w:rPr>
                <w:sz w:val="20"/>
                <w:szCs w:val="20"/>
              </w:rPr>
            </w:pPr>
            <w:r w:rsidRPr="003C2F46">
              <w:rPr>
                <w:sz w:val="20"/>
                <w:szCs w:val="20"/>
              </w:rPr>
              <w:t xml:space="preserve">Recommended reading: Emily </w:t>
            </w:r>
            <w:proofErr w:type="spellStart"/>
            <w:r w:rsidRPr="003C2F46">
              <w:rPr>
                <w:sz w:val="20"/>
                <w:szCs w:val="20"/>
              </w:rPr>
              <w:t>Wroczynski</w:t>
            </w:r>
            <w:proofErr w:type="spellEnd"/>
            <w:r w:rsidRPr="003C2F46">
              <w:rPr>
                <w:sz w:val="20"/>
                <w:szCs w:val="20"/>
              </w:rPr>
              <w:t xml:space="preserve">, “Walid </w:t>
            </w:r>
            <w:proofErr w:type="spellStart"/>
            <w:r w:rsidRPr="003C2F46">
              <w:rPr>
                <w:sz w:val="20"/>
                <w:szCs w:val="20"/>
              </w:rPr>
              <w:t>Raad</w:t>
            </w:r>
            <w:proofErr w:type="spellEnd"/>
            <w:r w:rsidRPr="003C2F46">
              <w:rPr>
                <w:sz w:val="20"/>
                <w:szCs w:val="20"/>
              </w:rPr>
              <w:t xml:space="preserve"> and </w:t>
            </w:r>
            <w:r w:rsidRPr="009D196E">
              <w:rPr>
                <w:sz w:val="20"/>
                <w:szCs w:val="20"/>
              </w:rPr>
              <w:t>the Atlas Group: Mapping Catastrophe</w:t>
            </w:r>
            <w:r w:rsidRPr="003C2F46">
              <w:rPr>
                <w:sz w:val="20"/>
                <w:szCs w:val="20"/>
              </w:rPr>
              <w:t xml:space="preserve"> </w:t>
            </w:r>
            <w:r w:rsidRPr="009D196E">
              <w:rPr>
                <w:sz w:val="20"/>
                <w:szCs w:val="20"/>
              </w:rPr>
              <w:t>and the Architecture of</w:t>
            </w:r>
            <w:r w:rsidR="003C2F46">
              <w:rPr>
                <w:sz w:val="20"/>
                <w:szCs w:val="20"/>
              </w:rPr>
              <w:t xml:space="preserve"> </w:t>
            </w:r>
            <w:r w:rsidRPr="009D196E">
              <w:rPr>
                <w:sz w:val="20"/>
                <w:szCs w:val="20"/>
              </w:rPr>
              <w:t>Destruction,”</w:t>
            </w:r>
            <w:r w:rsidR="003C2F46">
              <w:rPr>
                <w:sz w:val="20"/>
                <w:szCs w:val="20"/>
              </w:rPr>
              <w:t xml:space="preserve"> </w:t>
            </w:r>
            <w:r w:rsidRPr="009D196E">
              <w:rPr>
                <w:i/>
                <w:sz w:val="20"/>
                <w:szCs w:val="20"/>
              </w:rPr>
              <w:t>Third Text</w:t>
            </w:r>
            <w:r w:rsidRPr="009D196E">
              <w:rPr>
                <w:sz w:val="20"/>
                <w:szCs w:val="20"/>
              </w:rPr>
              <w:t xml:space="preserve"> 25:6 (October</w:t>
            </w:r>
            <w:r w:rsidRPr="003C2F46">
              <w:rPr>
                <w:sz w:val="20"/>
                <w:szCs w:val="20"/>
              </w:rPr>
              <w:t xml:space="preserve"> </w:t>
            </w:r>
            <w:r w:rsidRPr="009D196E">
              <w:rPr>
                <w:sz w:val="20"/>
                <w:szCs w:val="20"/>
              </w:rPr>
              <w:t>2015): 763-</w:t>
            </w:r>
            <w:r w:rsidRPr="003C2F46">
              <w:rPr>
                <w:sz w:val="20"/>
                <w:szCs w:val="20"/>
              </w:rPr>
              <w:t>773.</w:t>
            </w:r>
          </w:p>
          <w:p w14:paraId="1B4973B9" w14:textId="19F71E9C" w:rsidR="003A7314" w:rsidRPr="0020426C" w:rsidRDefault="003A7314" w:rsidP="009D196E"/>
        </w:tc>
      </w:tr>
      <w:tr w:rsidR="00975C97" w:rsidRPr="0020426C" w14:paraId="43EA1CE8" w14:textId="77777777" w:rsidTr="00A22874">
        <w:tc>
          <w:tcPr>
            <w:tcW w:w="985" w:type="dxa"/>
          </w:tcPr>
          <w:p w14:paraId="70CEBFF0" w14:textId="46A36EBA" w:rsidR="00975C97" w:rsidRPr="0020426C" w:rsidRDefault="00A22874" w:rsidP="00B86150">
            <w:r>
              <w:t xml:space="preserve">W </w:t>
            </w:r>
            <w:r w:rsidR="00975C97" w:rsidRPr="0020426C">
              <w:t>5/1</w:t>
            </w:r>
            <w:r w:rsidR="00975C97">
              <w:t>5</w:t>
            </w:r>
          </w:p>
        </w:tc>
        <w:tc>
          <w:tcPr>
            <w:tcW w:w="2917" w:type="dxa"/>
          </w:tcPr>
          <w:p w14:paraId="46A63BD2" w14:textId="77777777" w:rsidR="00975C97" w:rsidRPr="003C7DA0" w:rsidRDefault="00975C97" w:rsidP="00B86150">
            <w:pPr>
              <w:rPr>
                <w:b/>
              </w:rPr>
            </w:pPr>
            <w:r w:rsidRPr="003C7DA0">
              <w:rPr>
                <w:b/>
              </w:rPr>
              <w:t xml:space="preserve">Visiting Artist: Ben Gale-Shrek </w:t>
            </w:r>
          </w:p>
          <w:p w14:paraId="7251B4D6" w14:textId="77777777" w:rsidR="00975C97" w:rsidRDefault="00975C97" w:rsidP="00B86150"/>
          <w:p w14:paraId="439375DF" w14:textId="77777777" w:rsidR="00975C97" w:rsidRPr="0020426C" w:rsidRDefault="00975C97" w:rsidP="00B86150"/>
        </w:tc>
        <w:tc>
          <w:tcPr>
            <w:tcW w:w="5448" w:type="dxa"/>
          </w:tcPr>
          <w:p w14:paraId="0B1DB6DE" w14:textId="77777777" w:rsidR="00975C97" w:rsidRPr="0020426C" w:rsidRDefault="00975C97" w:rsidP="00B86150">
            <w:r w:rsidRPr="0020426C">
              <w:t>Canvas quiz due Sunday by 11:59pm</w:t>
            </w:r>
          </w:p>
          <w:p w14:paraId="0DFD27BC" w14:textId="77777777" w:rsidR="00975C97" w:rsidRPr="0020426C" w:rsidRDefault="00975C97" w:rsidP="00B86150"/>
        </w:tc>
      </w:tr>
      <w:tr w:rsidR="00975C97" w:rsidRPr="0020426C" w14:paraId="3347A10A" w14:textId="77777777" w:rsidTr="00A22874">
        <w:tc>
          <w:tcPr>
            <w:tcW w:w="985" w:type="dxa"/>
          </w:tcPr>
          <w:p w14:paraId="0763C04F" w14:textId="371E4736" w:rsidR="00975C97" w:rsidRPr="0020426C" w:rsidRDefault="00A22874" w:rsidP="00B86150">
            <w:r>
              <w:t xml:space="preserve">M </w:t>
            </w:r>
            <w:r w:rsidR="00975C97" w:rsidRPr="0020426C">
              <w:t>5/</w:t>
            </w:r>
            <w:r w:rsidR="00975C97">
              <w:t>20</w:t>
            </w:r>
          </w:p>
        </w:tc>
        <w:tc>
          <w:tcPr>
            <w:tcW w:w="2917" w:type="dxa"/>
          </w:tcPr>
          <w:p w14:paraId="18D549E1" w14:textId="77777777" w:rsidR="00975C97" w:rsidRPr="0020426C" w:rsidRDefault="00975C97" w:rsidP="00B86150"/>
          <w:p w14:paraId="497FF289" w14:textId="77777777" w:rsidR="00975C97" w:rsidRPr="0020426C" w:rsidRDefault="00975C97" w:rsidP="00B86150">
            <w:r w:rsidRPr="0020426C">
              <w:t>Art and War, Part 2: Monuments and Counter-Monuments</w:t>
            </w:r>
          </w:p>
          <w:p w14:paraId="4C885BA5" w14:textId="77777777" w:rsidR="00975C97" w:rsidRPr="0020426C" w:rsidRDefault="00975C97" w:rsidP="00B86150"/>
          <w:p w14:paraId="263095AB" w14:textId="77777777" w:rsidR="00975C97" w:rsidRPr="0020426C" w:rsidRDefault="00975C97" w:rsidP="00B86150"/>
        </w:tc>
        <w:tc>
          <w:tcPr>
            <w:tcW w:w="5448" w:type="dxa"/>
          </w:tcPr>
          <w:p w14:paraId="30EA9AF6" w14:textId="77777777" w:rsidR="00975C97" w:rsidRPr="0020426C" w:rsidRDefault="00975C97" w:rsidP="00B86150"/>
        </w:tc>
      </w:tr>
      <w:tr w:rsidR="00975C97" w:rsidRPr="0020426C" w14:paraId="4DDBC922" w14:textId="77777777" w:rsidTr="00A22874">
        <w:tc>
          <w:tcPr>
            <w:tcW w:w="985" w:type="dxa"/>
          </w:tcPr>
          <w:p w14:paraId="5DF9D605" w14:textId="2612B8CD" w:rsidR="00975C97" w:rsidRPr="0020426C" w:rsidRDefault="00A22874" w:rsidP="00B86150">
            <w:r>
              <w:t xml:space="preserve">W </w:t>
            </w:r>
            <w:r w:rsidR="00975C97" w:rsidRPr="0020426C">
              <w:t>5/</w:t>
            </w:r>
            <w:r w:rsidR="00975C97">
              <w:t>22</w:t>
            </w:r>
          </w:p>
        </w:tc>
        <w:tc>
          <w:tcPr>
            <w:tcW w:w="2917" w:type="dxa"/>
          </w:tcPr>
          <w:p w14:paraId="54947267" w14:textId="77777777" w:rsidR="00975C97" w:rsidRPr="0020426C" w:rsidRDefault="00975C97" w:rsidP="00B86150">
            <w:r w:rsidRPr="0020426C">
              <w:t>Art and Public Space</w:t>
            </w:r>
          </w:p>
          <w:p w14:paraId="5DF5CB88" w14:textId="77777777" w:rsidR="00975C97" w:rsidRPr="0020426C" w:rsidRDefault="00975C97" w:rsidP="00B86150"/>
        </w:tc>
        <w:tc>
          <w:tcPr>
            <w:tcW w:w="5448" w:type="dxa"/>
          </w:tcPr>
          <w:p w14:paraId="398E12BF" w14:textId="77777777" w:rsidR="00975C97" w:rsidRPr="0020426C" w:rsidRDefault="00975C97" w:rsidP="00B86150">
            <w:r w:rsidRPr="0020426C">
              <w:t>Williams: 126-62</w:t>
            </w:r>
          </w:p>
          <w:p w14:paraId="1A720A46" w14:textId="77777777" w:rsidR="00975C97" w:rsidRPr="0020426C" w:rsidRDefault="00975C97" w:rsidP="00B86150">
            <w:r w:rsidRPr="0020426C">
              <w:t>Canvas quiz due Sunday by 11:59pm</w:t>
            </w:r>
          </w:p>
          <w:p w14:paraId="2400CD96" w14:textId="77777777" w:rsidR="00975C97" w:rsidRPr="0020426C" w:rsidRDefault="00975C97" w:rsidP="00B86150"/>
        </w:tc>
      </w:tr>
      <w:tr w:rsidR="00975C97" w:rsidRPr="0020426C" w14:paraId="59BE1D0C" w14:textId="77777777" w:rsidTr="00A22874">
        <w:tc>
          <w:tcPr>
            <w:tcW w:w="985" w:type="dxa"/>
          </w:tcPr>
          <w:p w14:paraId="03C00ECC" w14:textId="6D0434AF" w:rsidR="00975C97" w:rsidRPr="0020426C" w:rsidRDefault="00A22874" w:rsidP="00B86150">
            <w:r>
              <w:t xml:space="preserve">M </w:t>
            </w:r>
            <w:r w:rsidR="00975C97" w:rsidRPr="0020426C">
              <w:t>5/</w:t>
            </w:r>
            <w:r w:rsidR="00975C97">
              <w:t>27</w:t>
            </w:r>
          </w:p>
        </w:tc>
        <w:tc>
          <w:tcPr>
            <w:tcW w:w="2917" w:type="dxa"/>
          </w:tcPr>
          <w:p w14:paraId="7A045BBB" w14:textId="77777777" w:rsidR="00975C97" w:rsidRPr="009B61F2" w:rsidRDefault="00975C97" w:rsidP="00B86150">
            <w:pPr>
              <w:rPr>
                <w:b/>
              </w:rPr>
            </w:pPr>
            <w:r w:rsidRPr="009B61F2">
              <w:rPr>
                <w:b/>
              </w:rPr>
              <w:t>Memorial Day – No class</w:t>
            </w:r>
          </w:p>
          <w:p w14:paraId="14401AE9" w14:textId="77777777" w:rsidR="00975C97" w:rsidRPr="0020426C" w:rsidRDefault="00975C97" w:rsidP="00B86150"/>
          <w:p w14:paraId="7A55076D" w14:textId="77777777" w:rsidR="00975C97" w:rsidRPr="0020426C" w:rsidRDefault="00975C97" w:rsidP="00B86150"/>
        </w:tc>
        <w:tc>
          <w:tcPr>
            <w:tcW w:w="5448" w:type="dxa"/>
          </w:tcPr>
          <w:p w14:paraId="2B0AD5F0" w14:textId="77777777" w:rsidR="00975C97" w:rsidRPr="0020426C" w:rsidRDefault="00975C97" w:rsidP="00B86150"/>
        </w:tc>
      </w:tr>
      <w:tr w:rsidR="00975C97" w:rsidRPr="0020426C" w14:paraId="6AEDE514" w14:textId="77777777" w:rsidTr="00A22874">
        <w:tc>
          <w:tcPr>
            <w:tcW w:w="985" w:type="dxa"/>
          </w:tcPr>
          <w:p w14:paraId="6D6D2C6C" w14:textId="374AA4B7" w:rsidR="00975C97" w:rsidRPr="0020426C" w:rsidRDefault="00A22874" w:rsidP="00B86150">
            <w:r>
              <w:t xml:space="preserve">W </w:t>
            </w:r>
            <w:r w:rsidR="00975C97" w:rsidRPr="0020426C">
              <w:t>5/2</w:t>
            </w:r>
            <w:r w:rsidR="00975C97">
              <w:t>9</w:t>
            </w:r>
          </w:p>
        </w:tc>
        <w:tc>
          <w:tcPr>
            <w:tcW w:w="2917" w:type="dxa"/>
          </w:tcPr>
          <w:p w14:paraId="2246F50A" w14:textId="77777777" w:rsidR="00975C97" w:rsidRPr="0020426C" w:rsidRDefault="00975C97" w:rsidP="00B86150">
            <w:r>
              <w:t xml:space="preserve">Art and Religion </w:t>
            </w:r>
          </w:p>
        </w:tc>
        <w:tc>
          <w:tcPr>
            <w:tcW w:w="5448" w:type="dxa"/>
          </w:tcPr>
          <w:p w14:paraId="173347F8" w14:textId="77777777" w:rsidR="00975C97" w:rsidRPr="0020426C" w:rsidRDefault="00975C97" w:rsidP="00B86150">
            <w:r w:rsidRPr="0020426C">
              <w:t>Williams: 163-209 (last section of Williams, 220-35, is optional)</w:t>
            </w:r>
          </w:p>
          <w:p w14:paraId="255CA593" w14:textId="77777777" w:rsidR="00975C97" w:rsidRDefault="00975C97" w:rsidP="00B86150">
            <w:r w:rsidRPr="0020426C">
              <w:t>Canvas quiz due Sunday by 11:59pm</w:t>
            </w:r>
          </w:p>
          <w:p w14:paraId="6E48BFE2" w14:textId="77777777" w:rsidR="00975C97" w:rsidRDefault="00975C97" w:rsidP="00B86150"/>
          <w:p w14:paraId="77F625E1" w14:textId="09389BB5" w:rsidR="00975C97" w:rsidRDefault="00975C97" w:rsidP="00B86150">
            <w:r>
              <w:t>Writing diary second submission due Friday, May 31</w:t>
            </w:r>
            <w:r w:rsidRPr="002A0E84">
              <w:rPr>
                <w:vertAlign w:val="superscript"/>
              </w:rPr>
              <w:t>st</w:t>
            </w:r>
            <w:r>
              <w:t xml:space="preserve"> at 11am via Canvas</w:t>
            </w:r>
          </w:p>
          <w:p w14:paraId="5BBA2AEC" w14:textId="100D741B" w:rsidR="00E02855" w:rsidRDefault="00E02855" w:rsidP="00B86150"/>
          <w:p w14:paraId="6F2BF783" w14:textId="448B8377" w:rsidR="00E02855" w:rsidRPr="003C2F46" w:rsidRDefault="00E02855" w:rsidP="00B86150">
            <w:pPr>
              <w:rPr>
                <w:sz w:val="20"/>
                <w:szCs w:val="20"/>
              </w:rPr>
            </w:pPr>
            <w:r w:rsidRPr="003C2F46">
              <w:rPr>
                <w:sz w:val="20"/>
                <w:szCs w:val="20"/>
              </w:rPr>
              <w:t xml:space="preserve">Recommended reading: </w:t>
            </w:r>
            <w:r w:rsidR="003C2F46">
              <w:rPr>
                <w:sz w:val="20"/>
                <w:szCs w:val="20"/>
              </w:rPr>
              <w:t>I</w:t>
            </w:r>
            <w:r w:rsidRPr="003C2F46">
              <w:rPr>
                <w:sz w:val="20"/>
                <w:szCs w:val="20"/>
              </w:rPr>
              <w:t xml:space="preserve">ntroduction to Richard Bolton, ed. </w:t>
            </w:r>
            <w:r w:rsidRPr="003C2F46">
              <w:rPr>
                <w:i/>
                <w:iCs/>
                <w:sz w:val="20"/>
                <w:szCs w:val="20"/>
              </w:rPr>
              <w:t>Culture Wars: Documents from the Recent Controversies in the Arts</w:t>
            </w:r>
            <w:r w:rsidRPr="003C2F46">
              <w:rPr>
                <w:sz w:val="20"/>
                <w:szCs w:val="20"/>
              </w:rPr>
              <w:t>. New York: New Press, 1992, pp. 3-25.</w:t>
            </w:r>
          </w:p>
          <w:p w14:paraId="39180E6B" w14:textId="77777777" w:rsidR="00975C97" w:rsidRPr="0020426C" w:rsidRDefault="00975C97" w:rsidP="00B86150"/>
        </w:tc>
      </w:tr>
      <w:tr w:rsidR="00975C97" w:rsidRPr="0020426C" w14:paraId="475C6416" w14:textId="77777777" w:rsidTr="00A22874">
        <w:tc>
          <w:tcPr>
            <w:tcW w:w="985" w:type="dxa"/>
          </w:tcPr>
          <w:p w14:paraId="437A11AC" w14:textId="536E71BA" w:rsidR="00975C97" w:rsidRPr="0020426C" w:rsidRDefault="00A22874" w:rsidP="00B86150">
            <w:r>
              <w:t xml:space="preserve">M </w:t>
            </w:r>
            <w:r w:rsidR="00975C97">
              <w:t>6/3</w:t>
            </w:r>
          </w:p>
        </w:tc>
        <w:tc>
          <w:tcPr>
            <w:tcW w:w="2917" w:type="dxa"/>
          </w:tcPr>
          <w:p w14:paraId="3D04D26B" w14:textId="77777777" w:rsidR="00975C97" w:rsidRPr="0020426C" w:rsidRDefault="00975C97" w:rsidP="00B86150">
            <w:r w:rsidRPr="0020426C">
              <w:t xml:space="preserve">Art and </w:t>
            </w:r>
            <w:r>
              <w:t>Technology</w:t>
            </w:r>
          </w:p>
          <w:p w14:paraId="7D093207" w14:textId="77777777" w:rsidR="00975C97" w:rsidRPr="0020426C" w:rsidRDefault="00975C97" w:rsidP="00B86150"/>
        </w:tc>
        <w:tc>
          <w:tcPr>
            <w:tcW w:w="5448" w:type="dxa"/>
          </w:tcPr>
          <w:p w14:paraId="64D12A9B" w14:textId="77777777" w:rsidR="00975C97" w:rsidRPr="0020426C" w:rsidRDefault="00975C97" w:rsidP="00B86150"/>
        </w:tc>
      </w:tr>
      <w:tr w:rsidR="00975C97" w:rsidRPr="0020426C" w14:paraId="657C9C38" w14:textId="77777777" w:rsidTr="00A22874">
        <w:tc>
          <w:tcPr>
            <w:tcW w:w="985" w:type="dxa"/>
          </w:tcPr>
          <w:p w14:paraId="3E78696C" w14:textId="61923882" w:rsidR="00975C97" w:rsidRPr="0020426C" w:rsidRDefault="00A22874" w:rsidP="00B86150">
            <w:r>
              <w:t xml:space="preserve">W </w:t>
            </w:r>
            <w:r w:rsidR="00975C97">
              <w:t>6/5</w:t>
            </w:r>
          </w:p>
        </w:tc>
        <w:tc>
          <w:tcPr>
            <w:tcW w:w="2917" w:type="dxa"/>
          </w:tcPr>
          <w:p w14:paraId="2C712E60" w14:textId="77777777" w:rsidR="00975C97" w:rsidRPr="0020426C" w:rsidRDefault="00975C97" w:rsidP="00B86150">
            <w:r w:rsidRPr="0020426C">
              <w:t>Art and Migration</w:t>
            </w:r>
          </w:p>
          <w:p w14:paraId="0D0CE00F" w14:textId="77777777" w:rsidR="00975C97" w:rsidRPr="0020426C" w:rsidRDefault="00975C97" w:rsidP="00B86150"/>
        </w:tc>
        <w:tc>
          <w:tcPr>
            <w:tcW w:w="5448" w:type="dxa"/>
          </w:tcPr>
          <w:p w14:paraId="41FC685B" w14:textId="77777777" w:rsidR="00975C97" w:rsidRDefault="00975C97" w:rsidP="00B86150">
            <w:r w:rsidRPr="0020426C">
              <w:t xml:space="preserve">Paper #2 due on </w:t>
            </w:r>
            <w:r>
              <w:t>Monday, June 10</w:t>
            </w:r>
            <w:r w:rsidRPr="00CF47A7">
              <w:rPr>
                <w:vertAlign w:val="superscript"/>
              </w:rPr>
              <w:t>th</w:t>
            </w:r>
            <w:r>
              <w:t xml:space="preserve"> at 11am via Canvas</w:t>
            </w:r>
          </w:p>
          <w:p w14:paraId="0B3C3AC9" w14:textId="77777777" w:rsidR="00975C97" w:rsidRPr="0020426C" w:rsidRDefault="00975C97" w:rsidP="00B86150"/>
          <w:p w14:paraId="0F36E14C" w14:textId="77777777" w:rsidR="00975C97" w:rsidRDefault="00975C97" w:rsidP="00B86150">
            <w:r w:rsidRPr="0020426C">
              <w:t>Canvas quiz due Sunday by 11:59pm</w:t>
            </w:r>
          </w:p>
          <w:p w14:paraId="5BA79F13" w14:textId="77777777" w:rsidR="00C56A13" w:rsidRDefault="00C56A13" w:rsidP="00B86150"/>
          <w:p w14:paraId="00FCFF74" w14:textId="69C15118" w:rsidR="00C56A13" w:rsidRPr="003C2F46" w:rsidRDefault="00C56A13" w:rsidP="00C56A13">
            <w:pPr>
              <w:rPr>
                <w:sz w:val="20"/>
                <w:szCs w:val="20"/>
              </w:rPr>
            </w:pPr>
            <w:r w:rsidRPr="003C2F46">
              <w:rPr>
                <w:sz w:val="20"/>
                <w:szCs w:val="20"/>
              </w:rPr>
              <w:t>Recommended reading: Alex Kershaw, “An interview with</w:t>
            </w:r>
            <w:r w:rsidR="000168BB">
              <w:rPr>
                <w:sz w:val="20"/>
                <w:szCs w:val="20"/>
              </w:rPr>
              <w:t xml:space="preserve"> </w:t>
            </w:r>
            <w:r w:rsidRPr="00C56A13">
              <w:rPr>
                <w:sz w:val="20"/>
                <w:szCs w:val="20"/>
              </w:rPr>
              <w:t xml:space="preserve">Tania </w:t>
            </w:r>
            <w:proofErr w:type="spellStart"/>
            <w:r w:rsidRPr="00C56A13">
              <w:rPr>
                <w:sz w:val="20"/>
                <w:szCs w:val="20"/>
              </w:rPr>
              <w:t>Bruguera</w:t>
            </w:r>
            <w:proofErr w:type="spellEnd"/>
            <w:r w:rsidRPr="00C56A13">
              <w:rPr>
                <w:sz w:val="20"/>
                <w:szCs w:val="20"/>
              </w:rPr>
              <w:t xml:space="preserve">,” </w:t>
            </w:r>
            <w:r w:rsidRPr="00C56A13">
              <w:rPr>
                <w:i/>
                <w:sz w:val="20"/>
                <w:szCs w:val="20"/>
              </w:rPr>
              <w:t>FIELD</w:t>
            </w:r>
            <w:r w:rsidRPr="00C56A13">
              <w:rPr>
                <w:sz w:val="20"/>
                <w:szCs w:val="20"/>
              </w:rPr>
              <w:t xml:space="preserve"> (Spring 2015)</w:t>
            </w:r>
            <w:r w:rsidRPr="003C2F46">
              <w:rPr>
                <w:sz w:val="20"/>
                <w:szCs w:val="20"/>
              </w:rPr>
              <w:t xml:space="preserve"> </w:t>
            </w:r>
            <w:r w:rsidRPr="00C56A13">
              <w:rPr>
                <w:sz w:val="20"/>
                <w:szCs w:val="20"/>
              </w:rPr>
              <w:t>(</w:t>
            </w:r>
            <w:hyperlink r:id="rId12" w:history="1">
              <w:r w:rsidR="000168BB" w:rsidRPr="00C56A13">
                <w:rPr>
                  <w:rStyle w:val="Hyperlink"/>
                  <w:sz w:val="20"/>
                  <w:szCs w:val="20"/>
                </w:rPr>
                <w:t>http://field-journal.com/issue-</w:t>
              </w:r>
              <w:r w:rsidR="000168BB" w:rsidRPr="00EF75B9">
                <w:rPr>
                  <w:rStyle w:val="Hyperlink"/>
                  <w:sz w:val="20"/>
                  <w:szCs w:val="20"/>
                </w:rPr>
                <w:t>1/bruguera</w:t>
              </w:r>
            </w:hyperlink>
            <w:r w:rsidRPr="003C2F46">
              <w:rPr>
                <w:sz w:val="20"/>
                <w:szCs w:val="20"/>
              </w:rPr>
              <w:t xml:space="preserve">). </w:t>
            </w:r>
          </w:p>
          <w:p w14:paraId="20A7EEB0" w14:textId="0E84354A" w:rsidR="0063022C" w:rsidRPr="0020426C" w:rsidRDefault="0063022C" w:rsidP="00C56A13"/>
        </w:tc>
      </w:tr>
    </w:tbl>
    <w:p w14:paraId="7881F8B7" w14:textId="77777777" w:rsidR="00975C97" w:rsidRPr="0020426C" w:rsidRDefault="00975C97" w:rsidP="00975C97"/>
    <w:p w14:paraId="2D2F85A9" w14:textId="77777777" w:rsidR="00975C97" w:rsidRPr="0020426C" w:rsidRDefault="00975C97" w:rsidP="00975C97">
      <w:pPr>
        <w:pStyle w:val="Heading1"/>
        <w:rPr>
          <w:rFonts w:ascii="Times New Roman" w:hAnsi="Times New Roman"/>
        </w:rPr>
      </w:pPr>
      <w:r w:rsidRPr="0020426C">
        <w:rPr>
          <w:rFonts w:ascii="Times New Roman" w:hAnsi="Times New Roman"/>
        </w:rPr>
        <w:t>TLC at the Writing Center</w:t>
      </w:r>
    </w:p>
    <w:p w14:paraId="13275D91" w14:textId="77777777" w:rsidR="00975C97" w:rsidRPr="0020426C" w:rsidRDefault="00975C97" w:rsidP="00975C97">
      <w:r w:rsidRPr="0020426C">
        <w:t xml:space="preserve">I encourage students to participate in a TLC group at the </w:t>
      </w:r>
      <w:proofErr w:type="spellStart"/>
      <w:r w:rsidRPr="0020426C">
        <w:t>Odegaard</w:t>
      </w:r>
      <w:proofErr w:type="spellEnd"/>
      <w:r w:rsidRPr="0020426C">
        <w:t xml:space="preserve"> Writing Center, which will provide group writing support for English Language Learners that is specific to this course. Students who participate will likely see their grades go up organically, because of the improvement it brings to their writing skills.</w:t>
      </w:r>
    </w:p>
    <w:p w14:paraId="683D4DDA" w14:textId="77777777" w:rsidR="00975C97" w:rsidRPr="0020426C" w:rsidRDefault="00975C97" w:rsidP="00975C97"/>
    <w:p w14:paraId="12E09DA8" w14:textId="77777777" w:rsidR="00975C97" w:rsidRPr="0020426C" w:rsidRDefault="00975C97" w:rsidP="00975C97">
      <w:pPr>
        <w:pStyle w:val="Heading1"/>
        <w:rPr>
          <w:rFonts w:ascii="Times New Roman" w:hAnsi="Times New Roman"/>
        </w:rPr>
      </w:pPr>
      <w:r w:rsidRPr="0020426C">
        <w:rPr>
          <w:rFonts w:ascii="Times New Roman" w:hAnsi="Times New Roman"/>
        </w:rPr>
        <w:t>Participation policy</w:t>
      </w:r>
    </w:p>
    <w:p w14:paraId="4E0CFA5E" w14:textId="77777777" w:rsidR="00975C97" w:rsidRPr="0020426C" w:rsidRDefault="00975C97" w:rsidP="00975C97">
      <w:r w:rsidRPr="0020426C">
        <w:t>Participation in this class involves oral contributions in lecture in section, as well as responses via Poll Everywhere. Of the 15% for participation, 3% is allotted to oral contributions (for which we have a high standard for regular, constructive, considerate participation). The other 12% you will earn by providing relevant answers to questions asked in class via Poll Everywhere. Though we do not use Poll Everywhere to confirm your attendance, the polls will include questions that are difficult to answer if you are not present in class. The 12% is calculated out of a total of points, in which a student who provides relevant answers for every Poll Everywhere question will receive 100%. It is not possible to make up this participation should you for some reason be unable to answer questions (i.e. absent, missing your device in class, etc.). We start counting participation points from the second day of class (</w:t>
      </w:r>
      <w:r>
        <w:t>April 3</w:t>
      </w:r>
      <w:r w:rsidRPr="0020426C">
        <w:t xml:space="preserve">) except for students who demonstrate they didn’t register until later in the quarter. </w:t>
      </w:r>
    </w:p>
    <w:p w14:paraId="62EDB4CC" w14:textId="77777777" w:rsidR="00975C97" w:rsidRPr="0020426C" w:rsidRDefault="00975C97" w:rsidP="00975C97"/>
    <w:p w14:paraId="543DEF58" w14:textId="77777777" w:rsidR="00975C97" w:rsidRPr="0020426C" w:rsidRDefault="00975C97" w:rsidP="00975C97">
      <w:pPr>
        <w:pStyle w:val="Heading1"/>
        <w:rPr>
          <w:rFonts w:ascii="Times New Roman" w:hAnsi="Times New Roman"/>
        </w:rPr>
      </w:pPr>
      <w:r w:rsidRPr="0020426C">
        <w:rPr>
          <w:rFonts w:ascii="Times New Roman" w:hAnsi="Times New Roman"/>
        </w:rPr>
        <w:t>Grading policy</w:t>
      </w:r>
    </w:p>
    <w:p w14:paraId="6713D8C2" w14:textId="77777777" w:rsidR="00975C97" w:rsidRPr="0020426C" w:rsidRDefault="00975C97" w:rsidP="00975C97">
      <w:r w:rsidRPr="0020426C">
        <w:rPr>
          <w:u w:val="single"/>
        </w:rPr>
        <w:t xml:space="preserve">Extra credit: </w:t>
      </w:r>
      <w:r>
        <w:t>There</w:t>
      </w:r>
      <w:r w:rsidRPr="0020426C">
        <w:t xml:space="preserve"> are no opportunities for extra credit.</w:t>
      </w:r>
    </w:p>
    <w:p w14:paraId="7508684D" w14:textId="256AA3C9" w:rsidR="00975C97" w:rsidRPr="0020426C" w:rsidRDefault="00975C97" w:rsidP="00975C97">
      <w:r w:rsidRPr="0020426C">
        <w:rPr>
          <w:u w:val="single"/>
        </w:rPr>
        <w:t>Lateness:</w:t>
      </w:r>
      <w:r w:rsidRPr="0020426C">
        <w:t xml:space="preserve"> We will deduct 5% for every day, including weekends, that a written</w:t>
      </w:r>
      <w:r w:rsidR="005A6D9D">
        <w:t xml:space="preserve"> </w:t>
      </w:r>
      <w:r w:rsidRPr="0020426C">
        <w:t>assignment is late</w:t>
      </w:r>
      <w:r w:rsidR="00FE413F">
        <w:t>, counting from the time of the original submission</w:t>
      </w:r>
      <w:r w:rsidR="004B1755">
        <w:t xml:space="preserve"> (usually 11am)</w:t>
      </w:r>
      <w:r w:rsidRPr="0020426C">
        <w:t xml:space="preserve">. </w:t>
      </w:r>
    </w:p>
    <w:p w14:paraId="5E9658C4" w14:textId="342412DC" w:rsidR="00975C97" w:rsidRPr="0020426C" w:rsidRDefault="00975C97" w:rsidP="00975C97">
      <w:r w:rsidRPr="0020426C">
        <w:rPr>
          <w:u w:val="single"/>
        </w:rPr>
        <w:t>Rescheduling:</w:t>
      </w:r>
      <w:r w:rsidRPr="0020426C">
        <w:t xml:space="preserve"> We cannot reschedule the online quizzes or provide extensions. But we will drop your lowest two grades from the quarter, which provide</w:t>
      </w:r>
      <w:r w:rsidR="00F03099">
        <w:t>s</w:t>
      </w:r>
      <w:r w:rsidRPr="0020426C">
        <w:t xml:space="preserve"> a cushion if you need to miss a quiz because of illness or travel.</w:t>
      </w:r>
    </w:p>
    <w:p w14:paraId="48D84EB7" w14:textId="77777777" w:rsidR="00975C97" w:rsidRPr="0020426C" w:rsidRDefault="00975C97" w:rsidP="00975C97">
      <w:r w:rsidRPr="0020426C">
        <w:rPr>
          <w:u w:val="single"/>
        </w:rPr>
        <w:t>Grade revision:</w:t>
      </w:r>
      <w:r w:rsidRPr="0020426C">
        <w:t xml:space="preserve"> You are welcome to come and discuss with me a grade that you think to</w:t>
      </w:r>
    </w:p>
    <w:p w14:paraId="2D509175" w14:textId="77777777" w:rsidR="00975C97" w:rsidRPr="0020426C" w:rsidRDefault="00975C97" w:rsidP="00975C97">
      <w:r w:rsidRPr="0020426C">
        <w:t>be unfair. However, should you choose to reopen consideration of the grade, I reserve the</w:t>
      </w:r>
    </w:p>
    <w:p w14:paraId="06E8FA38" w14:textId="77777777" w:rsidR="00975C97" w:rsidRPr="0020426C" w:rsidRDefault="00975C97" w:rsidP="00975C97">
      <w:r w:rsidRPr="0020426C">
        <w:t>right to lower as well as to raise it if I believe that the initial evaluation was inaccurate.</w:t>
      </w:r>
    </w:p>
    <w:p w14:paraId="32D3D91D" w14:textId="77777777" w:rsidR="00975C97" w:rsidRPr="0020426C" w:rsidRDefault="00975C97" w:rsidP="00975C97">
      <w:r w:rsidRPr="0020426C">
        <w:rPr>
          <w:u w:val="single"/>
        </w:rPr>
        <w:t>Plagiarism:</w:t>
      </w:r>
      <w:r w:rsidRPr="0020426C">
        <w:t xml:space="preserve"> Plagiarism and cheating carry a heavy grade penalty decided at my discretion, which can range from receiving a 0 on the assignment in question to failing the course. If you are tempted to cheat, I recommend that you consider a visit to the University’s Counseling Center to get support concerning stress and emotional coping.</w:t>
      </w:r>
    </w:p>
    <w:p w14:paraId="043CEBCE" w14:textId="77777777" w:rsidR="00975C97" w:rsidRPr="0020426C" w:rsidRDefault="00975C97" w:rsidP="00975C97"/>
    <w:p w14:paraId="302EEF24" w14:textId="77777777" w:rsidR="00975C97" w:rsidRPr="0020426C" w:rsidRDefault="00975C97" w:rsidP="00975C97">
      <w:pPr>
        <w:pStyle w:val="Heading1"/>
        <w:rPr>
          <w:rFonts w:ascii="Times New Roman" w:hAnsi="Times New Roman"/>
        </w:rPr>
      </w:pPr>
      <w:r w:rsidRPr="0020426C">
        <w:rPr>
          <w:rFonts w:ascii="Times New Roman" w:hAnsi="Times New Roman"/>
        </w:rPr>
        <w:t>Technology policy</w:t>
      </w:r>
    </w:p>
    <w:p w14:paraId="1398FF7D" w14:textId="71161E6D" w:rsidR="00975C97" w:rsidRPr="0020426C" w:rsidRDefault="00975C97" w:rsidP="00975C97">
      <w:r w:rsidRPr="0020426C">
        <w:t>You are permitted to use your devices in class to take notes and to access Poll Everywhere. T</w:t>
      </w:r>
      <w:r w:rsidR="00B03E60">
        <w:t>exting, t</w:t>
      </w:r>
      <w:r w:rsidRPr="0020426C">
        <w:t>alking on your phone, or distracting yourself, other students and me through</w:t>
      </w:r>
    </w:p>
    <w:p w14:paraId="6F8E15DB" w14:textId="5A076689" w:rsidR="00975C97" w:rsidRPr="0020426C" w:rsidRDefault="00975C97" w:rsidP="00975C97">
      <w:r w:rsidRPr="0020426C">
        <w:t>extracurricular internet use will lead to a reduced participation grade. These policies hold</w:t>
      </w:r>
    </w:p>
    <w:p w14:paraId="38E95C48" w14:textId="77777777" w:rsidR="00975C97" w:rsidRPr="0020426C" w:rsidRDefault="00975C97" w:rsidP="00975C97">
      <w:r w:rsidRPr="0020426C">
        <w:t>for both the lecture and the section meetings.</w:t>
      </w:r>
    </w:p>
    <w:p w14:paraId="6B861B62" w14:textId="77777777" w:rsidR="00975C97" w:rsidRPr="0020426C" w:rsidRDefault="00975C97" w:rsidP="00975C97"/>
    <w:p w14:paraId="12D567A7" w14:textId="77777777" w:rsidR="00975C97" w:rsidRPr="0020426C" w:rsidRDefault="00975C97" w:rsidP="00975C97">
      <w:pPr>
        <w:pStyle w:val="Heading1"/>
        <w:rPr>
          <w:rFonts w:ascii="Times New Roman" w:hAnsi="Times New Roman"/>
        </w:rPr>
      </w:pPr>
      <w:r w:rsidRPr="0020426C">
        <w:rPr>
          <w:rFonts w:ascii="Times New Roman" w:hAnsi="Times New Roman"/>
        </w:rPr>
        <w:t>Accommodation</w:t>
      </w:r>
    </w:p>
    <w:p w14:paraId="1FF63E9F" w14:textId="77777777" w:rsidR="00975C97" w:rsidRPr="0020426C" w:rsidRDefault="00975C97" w:rsidP="00975C97">
      <w:r w:rsidRPr="0020426C">
        <w:t>I look forward to working with students who may need learning accommodations (for the</w:t>
      </w:r>
    </w:p>
    <w:p w14:paraId="0CA3AAC1" w14:textId="79C26FA6" w:rsidR="00975C97" w:rsidRPr="0020426C" w:rsidRDefault="00975C97" w:rsidP="00975C97">
      <w:r w:rsidRPr="0020426C">
        <w:t>official School of Art policy</w:t>
      </w:r>
      <w:r w:rsidR="0068463E">
        <w:t xml:space="preserve"> see the accompanying PDF</w:t>
      </w:r>
      <w:r w:rsidRPr="0020426C">
        <w:t>). If you are registered with Disabled Student</w:t>
      </w:r>
      <w:r w:rsidR="0068463E">
        <w:t xml:space="preserve"> </w:t>
      </w:r>
      <w:r w:rsidRPr="0020426C">
        <w:t>Services, or documentation concerning travel for varsity sports, please make sure I</w:t>
      </w:r>
    </w:p>
    <w:p w14:paraId="7DDA6243" w14:textId="77777777" w:rsidR="00975C97" w:rsidRPr="0020426C" w:rsidRDefault="00975C97" w:rsidP="00975C97">
      <w:r w:rsidRPr="0020426C">
        <w:t>receive it within one week of the start of class.</w:t>
      </w:r>
    </w:p>
    <w:p w14:paraId="3DF88E5D" w14:textId="77777777" w:rsidR="00975C97" w:rsidRPr="0020426C" w:rsidRDefault="00975C97" w:rsidP="00975C97"/>
    <w:p w14:paraId="037A6087" w14:textId="77777777" w:rsidR="00975C97" w:rsidRPr="0020426C" w:rsidRDefault="00975C97" w:rsidP="00975C97">
      <w:pPr>
        <w:pStyle w:val="Heading1"/>
        <w:rPr>
          <w:rFonts w:ascii="Times New Roman" w:hAnsi="Times New Roman"/>
        </w:rPr>
      </w:pPr>
      <w:r w:rsidRPr="0020426C">
        <w:rPr>
          <w:rFonts w:ascii="Times New Roman" w:hAnsi="Times New Roman"/>
        </w:rPr>
        <w:t>Anti-discrimination</w:t>
      </w:r>
    </w:p>
    <w:p w14:paraId="08D5CD40" w14:textId="77777777" w:rsidR="00975C97" w:rsidRPr="0020426C" w:rsidRDefault="00975C97" w:rsidP="00975C97">
      <w:r w:rsidRPr="0020426C">
        <w:t>As your instructor I am committed to making our classroom a space without discrimination, where each one of you feels comfortable expressing yourself, and equally, is willing to listen to your peers express themselves. If discrimination does arise, I invite you to discuss it with me and we can make a plan for how to rectify it. Being committed to anti-discrimination doesn’t mean that you need to be nervous about saying the “wrong” thing. Rather, it’s a commitment to process, in which all of us agree to remain generous and self-reflexive, and to help each other out in the collective work of establishing a positive group dynamic. See below for the School of Art’s official Equal Opportunity policy.</w:t>
      </w:r>
    </w:p>
    <w:p w14:paraId="4ADD8F6D" w14:textId="0E59F8C8" w:rsidR="009605C7" w:rsidRDefault="00224856"/>
    <w:p w14:paraId="7EB680CE" w14:textId="2AC1EEDD" w:rsidR="00975C97" w:rsidRPr="00545431" w:rsidRDefault="00975C97">
      <w:pPr>
        <w:rPr>
          <w:sz w:val="20"/>
          <w:szCs w:val="20"/>
        </w:rPr>
      </w:pPr>
    </w:p>
    <w:sectPr w:rsidR="00975C97" w:rsidRPr="00545431" w:rsidSect="000D750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D0F6" w14:textId="77777777" w:rsidR="00224856" w:rsidRDefault="00224856" w:rsidP="000B092B">
      <w:r>
        <w:separator/>
      </w:r>
    </w:p>
  </w:endnote>
  <w:endnote w:type="continuationSeparator" w:id="0">
    <w:p w14:paraId="55BEB638" w14:textId="77777777" w:rsidR="00224856" w:rsidRDefault="00224856" w:rsidP="000B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4805733"/>
      <w:docPartObj>
        <w:docPartGallery w:val="Page Numbers (Bottom of Page)"/>
        <w:docPartUnique/>
      </w:docPartObj>
    </w:sdtPr>
    <w:sdtEndPr>
      <w:rPr>
        <w:rStyle w:val="PageNumber"/>
      </w:rPr>
    </w:sdtEndPr>
    <w:sdtContent>
      <w:p w14:paraId="6EBA15BE" w14:textId="1CEEBDDF" w:rsidR="000B092B" w:rsidRDefault="000B092B" w:rsidP="00EF7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CD5170" w14:textId="77777777" w:rsidR="000B092B" w:rsidRDefault="000B092B" w:rsidP="000B09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5580480"/>
      <w:docPartObj>
        <w:docPartGallery w:val="Page Numbers (Bottom of Page)"/>
        <w:docPartUnique/>
      </w:docPartObj>
    </w:sdtPr>
    <w:sdtEndPr>
      <w:rPr>
        <w:rStyle w:val="PageNumber"/>
      </w:rPr>
    </w:sdtEndPr>
    <w:sdtContent>
      <w:p w14:paraId="2F7ADC70" w14:textId="3EAB6FC1" w:rsidR="000B092B" w:rsidRDefault="000B092B" w:rsidP="00EF7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BF1AFB" w14:textId="77777777" w:rsidR="000B092B" w:rsidRDefault="000B092B" w:rsidP="000B09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D94A2" w14:textId="77777777" w:rsidR="00224856" w:rsidRDefault="00224856" w:rsidP="000B092B">
      <w:r>
        <w:separator/>
      </w:r>
    </w:p>
  </w:footnote>
  <w:footnote w:type="continuationSeparator" w:id="0">
    <w:p w14:paraId="72EB46DF" w14:textId="77777777" w:rsidR="00224856" w:rsidRDefault="00224856" w:rsidP="000B0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287"/>
    <w:multiLevelType w:val="hybridMultilevel"/>
    <w:tmpl w:val="A4FE3C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2C4C0C"/>
    <w:multiLevelType w:val="hybridMultilevel"/>
    <w:tmpl w:val="4628D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337554"/>
    <w:multiLevelType w:val="hybridMultilevel"/>
    <w:tmpl w:val="19B6DF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775DE0"/>
    <w:multiLevelType w:val="hybridMultilevel"/>
    <w:tmpl w:val="7FA8DA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166EF6"/>
    <w:multiLevelType w:val="hybridMultilevel"/>
    <w:tmpl w:val="39CA53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6A4162"/>
    <w:multiLevelType w:val="hybridMultilevel"/>
    <w:tmpl w:val="D6E484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921220"/>
    <w:multiLevelType w:val="hybridMultilevel"/>
    <w:tmpl w:val="1FC2D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14F6DF8"/>
    <w:multiLevelType w:val="hybridMultilevel"/>
    <w:tmpl w:val="11A8C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E60A2A"/>
    <w:multiLevelType w:val="hybridMultilevel"/>
    <w:tmpl w:val="6244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B01A4"/>
    <w:multiLevelType w:val="hybridMultilevel"/>
    <w:tmpl w:val="BF5252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42D30D3"/>
    <w:multiLevelType w:val="hybridMultilevel"/>
    <w:tmpl w:val="E848A7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8830D8"/>
    <w:multiLevelType w:val="hybridMultilevel"/>
    <w:tmpl w:val="B10A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3"/>
  </w:num>
  <w:num w:numId="5">
    <w:abstractNumId w:val="6"/>
  </w:num>
  <w:num w:numId="6">
    <w:abstractNumId w:val="4"/>
  </w:num>
  <w:num w:numId="7">
    <w:abstractNumId w:val="5"/>
  </w:num>
  <w:num w:numId="8">
    <w:abstractNumId w:val="10"/>
  </w:num>
  <w:num w:numId="9">
    <w:abstractNumId w:val="2"/>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97"/>
    <w:rsid w:val="00000ACA"/>
    <w:rsid w:val="000168BB"/>
    <w:rsid w:val="00070988"/>
    <w:rsid w:val="00084996"/>
    <w:rsid w:val="000B092B"/>
    <w:rsid w:val="000C486A"/>
    <w:rsid w:val="000D7501"/>
    <w:rsid w:val="00113152"/>
    <w:rsid w:val="00224856"/>
    <w:rsid w:val="002A72C8"/>
    <w:rsid w:val="002B08AA"/>
    <w:rsid w:val="002C2672"/>
    <w:rsid w:val="002E6E92"/>
    <w:rsid w:val="00375DD2"/>
    <w:rsid w:val="003A7314"/>
    <w:rsid w:val="003C2F46"/>
    <w:rsid w:val="003C4E5F"/>
    <w:rsid w:val="003E5363"/>
    <w:rsid w:val="0048482D"/>
    <w:rsid w:val="004B1755"/>
    <w:rsid w:val="004E77E8"/>
    <w:rsid w:val="004F0089"/>
    <w:rsid w:val="00516639"/>
    <w:rsid w:val="0053033B"/>
    <w:rsid w:val="00545431"/>
    <w:rsid w:val="005A0718"/>
    <w:rsid w:val="005A6D9D"/>
    <w:rsid w:val="005B7301"/>
    <w:rsid w:val="00624470"/>
    <w:rsid w:val="0063022C"/>
    <w:rsid w:val="006316A0"/>
    <w:rsid w:val="00632452"/>
    <w:rsid w:val="0065248C"/>
    <w:rsid w:val="0068463E"/>
    <w:rsid w:val="006B6FC7"/>
    <w:rsid w:val="007E1320"/>
    <w:rsid w:val="007E4AEC"/>
    <w:rsid w:val="00817144"/>
    <w:rsid w:val="008276CC"/>
    <w:rsid w:val="008312C9"/>
    <w:rsid w:val="00975C97"/>
    <w:rsid w:val="009848FA"/>
    <w:rsid w:val="00985600"/>
    <w:rsid w:val="009C2C96"/>
    <w:rsid w:val="009D196E"/>
    <w:rsid w:val="00A15204"/>
    <w:rsid w:val="00A22874"/>
    <w:rsid w:val="00A43205"/>
    <w:rsid w:val="00A808E8"/>
    <w:rsid w:val="00A91823"/>
    <w:rsid w:val="00B03E60"/>
    <w:rsid w:val="00B0651A"/>
    <w:rsid w:val="00B90479"/>
    <w:rsid w:val="00BD23E4"/>
    <w:rsid w:val="00C56A13"/>
    <w:rsid w:val="00CB6EAB"/>
    <w:rsid w:val="00D01DA4"/>
    <w:rsid w:val="00D5130A"/>
    <w:rsid w:val="00DB04D7"/>
    <w:rsid w:val="00DB6960"/>
    <w:rsid w:val="00DE445D"/>
    <w:rsid w:val="00E02659"/>
    <w:rsid w:val="00E02855"/>
    <w:rsid w:val="00E4083B"/>
    <w:rsid w:val="00E432D6"/>
    <w:rsid w:val="00E72FB3"/>
    <w:rsid w:val="00F03099"/>
    <w:rsid w:val="00F25A2F"/>
    <w:rsid w:val="00F335CB"/>
    <w:rsid w:val="00F54CD6"/>
    <w:rsid w:val="00F83555"/>
    <w:rsid w:val="00FD4D83"/>
    <w:rsid w:val="00FE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F150"/>
  <w15:chartTrackingRefBased/>
  <w15:docId w15:val="{07C7F47B-D2E2-7F44-B8D1-3E696F02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5C97"/>
  </w:style>
  <w:style w:type="paragraph" w:styleId="Heading1">
    <w:name w:val="heading 1"/>
    <w:basedOn w:val="Normal"/>
    <w:next w:val="Normal"/>
    <w:link w:val="Heading1Char"/>
    <w:qFormat/>
    <w:rsid w:val="00975C97"/>
    <w:pPr>
      <w:keepNext/>
      <w:jc w:val="both"/>
      <w:outlineLvl w:val="0"/>
    </w:pPr>
    <w:rPr>
      <w:rFonts w:ascii="Arial Narrow" w:eastAsia="Times New Roman" w:hAnsi="Arial Narrow"/>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C97"/>
    <w:rPr>
      <w:rFonts w:ascii="Arial Narrow" w:eastAsia="Times New Roman" w:hAnsi="Arial Narrow"/>
      <w:b/>
      <w:sz w:val="22"/>
      <w:szCs w:val="20"/>
      <w:u w:val="single"/>
    </w:rPr>
  </w:style>
  <w:style w:type="character" w:styleId="Hyperlink">
    <w:name w:val="Hyperlink"/>
    <w:basedOn w:val="DefaultParagraphFont"/>
    <w:uiPriority w:val="99"/>
    <w:unhideWhenUsed/>
    <w:rsid w:val="00975C97"/>
    <w:rPr>
      <w:color w:val="0563C1" w:themeColor="hyperlink"/>
      <w:u w:val="single"/>
    </w:rPr>
  </w:style>
  <w:style w:type="paragraph" w:styleId="ListParagraph">
    <w:name w:val="List Paragraph"/>
    <w:basedOn w:val="Normal"/>
    <w:uiPriority w:val="34"/>
    <w:qFormat/>
    <w:rsid w:val="00975C97"/>
    <w:pPr>
      <w:ind w:left="720"/>
      <w:contextualSpacing/>
    </w:pPr>
  </w:style>
  <w:style w:type="table" w:styleId="TableGrid">
    <w:name w:val="Table Grid"/>
    <w:basedOn w:val="TableNormal"/>
    <w:uiPriority w:val="39"/>
    <w:rsid w:val="0097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75C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C9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975C97"/>
    <w:pPr>
      <w:tabs>
        <w:tab w:val="center" w:pos="4680"/>
        <w:tab w:val="right" w:pos="9360"/>
      </w:tabs>
    </w:pPr>
  </w:style>
  <w:style w:type="character" w:customStyle="1" w:styleId="FooterChar">
    <w:name w:val="Footer Char"/>
    <w:basedOn w:val="DefaultParagraphFont"/>
    <w:link w:val="Footer"/>
    <w:uiPriority w:val="99"/>
    <w:rsid w:val="00975C97"/>
  </w:style>
  <w:style w:type="character" w:styleId="PageNumber">
    <w:name w:val="page number"/>
    <w:basedOn w:val="DefaultParagraphFont"/>
    <w:uiPriority w:val="99"/>
    <w:semiHidden/>
    <w:unhideWhenUsed/>
    <w:rsid w:val="00975C97"/>
  </w:style>
  <w:style w:type="character" w:styleId="UnresolvedMention">
    <w:name w:val="Unresolved Mention"/>
    <w:basedOn w:val="DefaultParagraphFont"/>
    <w:uiPriority w:val="99"/>
    <w:rsid w:val="00975C97"/>
    <w:rPr>
      <w:color w:val="605E5C"/>
      <w:shd w:val="clear" w:color="auto" w:fill="E1DFDD"/>
    </w:rPr>
  </w:style>
  <w:style w:type="paragraph" w:styleId="BalloonText">
    <w:name w:val="Balloon Text"/>
    <w:basedOn w:val="Normal"/>
    <w:link w:val="BalloonTextChar"/>
    <w:uiPriority w:val="99"/>
    <w:semiHidden/>
    <w:unhideWhenUsed/>
    <w:rsid w:val="00975C97"/>
    <w:pPr>
      <w:widowControl w:val="0"/>
    </w:pPr>
    <w:rPr>
      <w:sz w:val="18"/>
      <w:szCs w:val="18"/>
    </w:rPr>
  </w:style>
  <w:style w:type="character" w:customStyle="1" w:styleId="BalloonTextChar">
    <w:name w:val="Balloon Text Char"/>
    <w:basedOn w:val="DefaultParagraphFont"/>
    <w:link w:val="BalloonText"/>
    <w:uiPriority w:val="99"/>
    <w:semiHidden/>
    <w:rsid w:val="00975C97"/>
    <w:rPr>
      <w:sz w:val="18"/>
      <w:szCs w:val="18"/>
    </w:rPr>
  </w:style>
  <w:style w:type="character" w:styleId="FollowedHyperlink">
    <w:name w:val="FollowedHyperlink"/>
    <w:basedOn w:val="DefaultParagraphFont"/>
    <w:uiPriority w:val="99"/>
    <w:semiHidden/>
    <w:unhideWhenUsed/>
    <w:rsid w:val="00631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eagles@uw.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dair@uw.edu" TargetMode="External"/><Relationship Id="rId12" Type="http://schemas.openxmlformats.org/officeDocument/2006/relationships/hyperlink" Target="http://field-journal.com/issue-1/brugue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yperallergic.com/131687/i-amjoe-scanl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yperallergic.com/126420/artistcollective-withdraws-from-whitneybiennial/" TargetMode="External"/><Relationship Id="rId4" Type="http://schemas.openxmlformats.org/officeDocument/2006/relationships/webSettings" Target="webSettings.xml"/><Relationship Id="rId9" Type="http://schemas.openxmlformats.org/officeDocument/2006/relationships/hyperlink" Target="https://www.theguardian.com/artanddesign/2019/mar/08/carolee-schneeman-performance-artist-taught-us-how-to-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lmeagles</cp:lastModifiedBy>
  <cp:revision>42</cp:revision>
  <dcterms:created xsi:type="dcterms:W3CDTF">2019-03-27T20:30:00Z</dcterms:created>
  <dcterms:modified xsi:type="dcterms:W3CDTF">2019-04-02T00:04:00Z</dcterms:modified>
</cp:coreProperties>
</file>