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D70DA" w14:textId="5320CD7F" w:rsidR="0091651F" w:rsidRPr="006B3C03" w:rsidRDefault="0091651F">
      <w:pPr>
        <w:rPr>
          <w:b/>
        </w:rPr>
      </w:pPr>
      <w:r w:rsidRPr="006B3C03">
        <w:rPr>
          <w:b/>
        </w:rPr>
        <w:t>Art History 509, Seminar in Contemporary Art</w:t>
      </w:r>
    </w:p>
    <w:p w14:paraId="2C786997" w14:textId="1307D15D" w:rsidR="0091651F" w:rsidRDefault="0091651F">
      <w:r>
        <w:t xml:space="preserve">Fridays 9-11:50am, </w:t>
      </w:r>
      <w:r w:rsidR="006B3C03">
        <w:t>Art Building 312</w:t>
      </w:r>
    </w:p>
    <w:p w14:paraId="18341F19" w14:textId="2DF7A6F7" w:rsidR="0091651F" w:rsidRDefault="0091651F">
      <w:r w:rsidRPr="0020426C">
        <w:t xml:space="preserve">Professor Adair </w:t>
      </w:r>
      <w:proofErr w:type="spellStart"/>
      <w:r w:rsidRPr="0020426C">
        <w:t>Rounthwaite</w:t>
      </w:r>
      <w:proofErr w:type="spellEnd"/>
      <w:r w:rsidRPr="0020426C">
        <w:t xml:space="preserve">, </w:t>
      </w:r>
      <w:hyperlink r:id="rId7" w:history="1">
        <w:r w:rsidRPr="0020426C">
          <w:rPr>
            <w:rStyle w:val="Hyperlink"/>
          </w:rPr>
          <w:t>vadair@uw.edu</w:t>
        </w:r>
      </w:hyperlink>
      <w:r w:rsidRPr="0020426C">
        <w:t xml:space="preserve">, office hours </w:t>
      </w:r>
      <w:r>
        <w:t>Monday 10am-12pm</w:t>
      </w:r>
      <w:r w:rsidRPr="0020426C">
        <w:t xml:space="preserve"> or by appointment</w:t>
      </w:r>
      <w:r>
        <w:t xml:space="preserve">, Art Building 367 </w:t>
      </w:r>
      <w:r w:rsidRPr="0020426C">
        <w:t xml:space="preserve"> </w:t>
      </w:r>
    </w:p>
    <w:p w14:paraId="7A2ECF31" w14:textId="75C8752A" w:rsidR="0091651F" w:rsidRDefault="0091651F"/>
    <w:p w14:paraId="2643BEE6" w14:textId="3970A289" w:rsidR="006B3C03" w:rsidRPr="006B3C03" w:rsidRDefault="006B3C03">
      <w:pPr>
        <w:rPr>
          <w:b/>
        </w:rPr>
      </w:pPr>
      <w:r>
        <w:rPr>
          <w:b/>
        </w:rPr>
        <w:t>Course description</w:t>
      </w:r>
    </w:p>
    <w:p w14:paraId="1901BB5D" w14:textId="1CF68B80" w:rsidR="0091651F" w:rsidRDefault="0091651F" w:rsidP="0091651F">
      <w:r w:rsidRPr="0091651F">
        <w:t xml:space="preserve">This seminar </w:t>
      </w:r>
      <w:r w:rsidR="006B3C03">
        <w:t xml:space="preserve">provides </w:t>
      </w:r>
      <w:r w:rsidRPr="0091651F">
        <w:t xml:space="preserve">students with an introduction to themes and scholarly concerns in postmodern and contemporary art practice since the 1960s. It is designed with special attention to the needs of students pursuing the MFA in Art but is open to graduate students in any related field in the arts, humanities, or social sciences. The course will help students gain familiarity with major practitioners who have moved contemporary art practice forward through a variety of tactics and media. We will also carefully study three books in recent art historical scholarship and will consider the differences and parallels between the research that gives rise to scholarship and the research that many contemporary artists employ in their practices. </w:t>
      </w:r>
      <w:r w:rsidR="006B3C03">
        <w:t>Connecting threads in our discussions will be questions about the blurring and encounter between disciplines or media in contemporary art practice</w:t>
      </w:r>
      <w:r w:rsidR="00687C24">
        <w:t>;</w:t>
      </w:r>
      <w:r w:rsidR="006B3C03">
        <w:t xml:space="preserve"> </w:t>
      </w:r>
      <w:r w:rsidR="00687C24">
        <w:t xml:space="preserve">the fate of mid-century </w:t>
      </w:r>
      <w:r w:rsidR="00FD4788">
        <w:t>tendencies such as</w:t>
      </w:r>
      <w:r w:rsidR="00687C24">
        <w:t xml:space="preserve"> pop and abstraction in later practices; and the </w:t>
      </w:r>
      <w:r w:rsidR="006456A6">
        <w:t>issue</w:t>
      </w:r>
      <w:r w:rsidR="00687C24">
        <w:t xml:space="preserve"> of </w:t>
      </w:r>
      <w:r w:rsidR="006B3C03">
        <w:t xml:space="preserve">what </w:t>
      </w:r>
      <w:r w:rsidRPr="0091651F">
        <w:t xml:space="preserve">constitutes the </w:t>
      </w:r>
      <w:r w:rsidR="006B3C03">
        <w:t>“</w:t>
      </w:r>
      <w:r w:rsidRPr="0091651F">
        <w:t>social</w:t>
      </w:r>
      <w:r w:rsidR="006B3C03">
        <w:t>”</w:t>
      </w:r>
      <w:r w:rsidRPr="0091651F">
        <w:t xml:space="preserve"> or </w:t>
      </w:r>
      <w:r w:rsidR="006B3C03">
        <w:t>“</w:t>
      </w:r>
      <w:r w:rsidRPr="0091651F">
        <w:t>political</w:t>
      </w:r>
      <w:r w:rsidR="006B3C03">
        <w:t>”</w:t>
      </w:r>
      <w:r w:rsidRPr="0091651F">
        <w:t xml:space="preserve"> with which contemporary art might aim to engage. </w:t>
      </w:r>
    </w:p>
    <w:p w14:paraId="6A91ACA6" w14:textId="719950BE" w:rsidR="00635B1E" w:rsidRDefault="00635B1E" w:rsidP="0091651F"/>
    <w:p w14:paraId="21BB6D34" w14:textId="672EF762" w:rsidR="00635B1E" w:rsidRDefault="00EE5CA6" w:rsidP="0091651F">
      <w:pPr>
        <w:rPr>
          <w:b/>
        </w:rPr>
      </w:pPr>
      <w:r>
        <w:rPr>
          <w:b/>
        </w:rPr>
        <w:t>Evaluation criteria</w:t>
      </w:r>
    </w:p>
    <w:p w14:paraId="1FAF1F3A" w14:textId="42FFC506" w:rsidR="00B239F7" w:rsidRPr="00B239F7" w:rsidRDefault="00B239F7" w:rsidP="00EE5CA6">
      <w:pPr>
        <w:rPr>
          <w:u w:val="single"/>
        </w:rPr>
      </w:pPr>
      <w:r w:rsidRPr="00B239F7">
        <w:rPr>
          <w:u w:val="single"/>
        </w:rPr>
        <w:t>For MFA</w:t>
      </w:r>
      <w:r w:rsidR="00B36730">
        <w:rPr>
          <w:u w:val="single"/>
        </w:rPr>
        <w:t xml:space="preserve"> student</w:t>
      </w:r>
      <w:r w:rsidRPr="00B239F7">
        <w:rPr>
          <w:u w:val="single"/>
        </w:rPr>
        <w:t>s</w:t>
      </w:r>
      <w:r w:rsidR="00CF3009" w:rsidRPr="00CF3009">
        <w:t xml:space="preserve"> </w:t>
      </w:r>
    </w:p>
    <w:p w14:paraId="4912E7BE" w14:textId="397D86F4" w:rsidR="00EE5CA6" w:rsidRDefault="00EE5CA6" w:rsidP="00EE5CA6">
      <w:r>
        <w:t>Oral participation: 20%</w:t>
      </w:r>
    </w:p>
    <w:p w14:paraId="59EEEC34" w14:textId="2B1FEE6E" w:rsidR="00C510E2" w:rsidRDefault="00C510E2" w:rsidP="00EE5CA6">
      <w:r>
        <w:t xml:space="preserve">A reading response </w:t>
      </w:r>
      <w:r w:rsidR="00B239F7">
        <w:t xml:space="preserve">to each book, 1200 words each, Times New Roman </w:t>
      </w:r>
      <w:r w:rsidR="00B938DF">
        <w:t xml:space="preserve">12-point </w:t>
      </w:r>
      <w:r w:rsidR="00B239F7">
        <w:t>double spaced: 20% each x 3 = 60%</w:t>
      </w:r>
    </w:p>
    <w:p w14:paraId="330520FF" w14:textId="21E3BFA2" w:rsidR="00B239F7" w:rsidRDefault="00B239F7" w:rsidP="00EE5CA6">
      <w:r>
        <w:t>15</w:t>
      </w:r>
      <w:r w:rsidR="009E58D8">
        <w:t>-</w:t>
      </w:r>
      <w:r>
        <w:t xml:space="preserve">minute presentation on a peer’s </w:t>
      </w:r>
      <w:r w:rsidR="00B938DF">
        <w:t xml:space="preserve">art </w:t>
      </w:r>
      <w:r>
        <w:t>practice. I will assign you another student on whose practice you will present, and the presentations will happen in weeks 7, 9, and 10: 10%</w:t>
      </w:r>
    </w:p>
    <w:p w14:paraId="3552D41E" w14:textId="3D6B2B29" w:rsidR="00B239F7" w:rsidRDefault="00B239F7" w:rsidP="00EE5CA6">
      <w:r>
        <w:t>Written response to the presentation on your own wor</w:t>
      </w:r>
      <w:r w:rsidR="00B938DF">
        <w:t>k</w:t>
      </w:r>
      <w:r>
        <w:t>, 1000 words</w:t>
      </w:r>
      <w:r w:rsidR="009B41AB">
        <w:t>, due 72 hours after the presentation takes place</w:t>
      </w:r>
      <w:r>
        <w:t>: 10%</w:t>
      </w:r>
    </w:p>
    <w:p w14:paraId="20BF3BF2" w14:textId="77838EF6" w:rsidR="00EE5CA6" w:rsidRDefault="00EE5CA6" w:rsidP="00EE5CA6"/>
    <w:p w14:paraId="0D1075F8" w14:textId="53A7CA3A" w:rsidR="00B36730" w:rsidRPr="00B36730" w:rsidRDefault="00B36730" w:rsidP="00EE5CA6">
      <w:pPr>
        <w:rPr>
          <w:u w:val="single"/>
        </w:rPr>
      </w:pPr>
      <w:r w:rsidRPr="00B36730">
        <w:rPr>
          <w:u w:val="single"/>
        </w:rPr>
        <w:t>For Art History students</w:t>
      </w:r>
    </w:p>
    <w:p w14:paraId="77E92E63" w14:textId="77777777" w:rsidR="00B36730" w:rsidRDefault="00B36730" w:rsidP="00B36730">
      <w:r>
        <w:t>Oral participation: 20%</w:t>
      </w:r>
    </w:p>
    <w:p w14:paraId="6705E57D" w14:textId="1C79DCC6" w:rsidR="00B36730" w:rsidRDefault="00B36730" w:rsidP="00B36730">
      <w:r>
        <w:t xml:space="preserve">A reading response to </w:t>
      </w:r>
      <w:r w:rsidR="000C5EE3">
        <w:t xml:space="preserve">Darby </w:t>
      </w:r>
      <w:r w:rsidR="00ED0385">
        <w:t>English book</w:t>
      </w:r>
      <w:r>
        <w:t>, 1200 words, Times New Roman double spaced: 20%</w:t>
      </w:r>
    </w:p>
    <w:p w14:paraId="5FFB8400" w14:textId="7731721A" w:rsidR="00B36730" w:rsidRDefault="00D405A9" w:rsidP="00B36730">
      <w:r>
        <w:t xml:space="preserve">Weekly reading diary on the </w:t>
      </w:r>
      <w:r w:rsidR="00825A30">
        <w:t>other class readings (entry of ~500 words per week) to be submitted together with the final paper: 10%</w:t>
      </w:r>
    </w:p>
    <w:p w14:paraId="07B4BBDF" w14:textId="4039A9D0" w:rsidR="00B36730" w:rsidRDefault="00B36730" w:rsidP="00B36730">
      <w:r>
        <w:t>Research paper on a topic of your choice, 3000-4000 words, Times New Roman double spaced: 50%</w:t>
      </w:r>
    </w:p>
    <w:p w14:paraId="0FD545F1" w14:textId="70AF48DF" w:rsidR="00EE5CA6" w:rsidRDefault="00EE5CA6" w:rsidP="0091651F">
      <w:pPr>
        <w:rPr>
          <w:b/>
        </w:rPr>
      </w:pPr>
    </w:p>
    <w:p w14:paraId="0F8B9038" w14:textId="372E5461" w:rsidR="00EE5CA6" w:rsidRDefault="00EE5CA6" w:rsidP="0091651F">
      <w:pPr>
        <w:rPr>
          <w:b/>
        </w:rPr>
      </w:pPr>
      <w:r>
        <w:rPr>
          <w:b/>
        </w:rPr>
        <w:t>Readings</w:t>
      </w:r>
    </w:p>
    <w:p w14:paraId="0767CFB4" w14:textId="17EE4F54" w:rsidR="00EE5CA6" w:rsidRDefault="00EE5CA6" w:rsidP="0091651F">
      <w:r>
        <w:t xml:space="preserve">Please </w:t>
      </w:r>
      <w:r w:rsidR="00E03AE8">
        <w:t>aquire</w:t>
      </w:r>
      <w:r>
        <w:t xml:space="preserve"> the following three books</w:t>
      </w:r>
      <w:r w:rsidR="00E03AE8">
        <w:t>:</w:t>
      </w:r>
    </w:p>
    <w:p w14:paraId="4107A991" w14:textId="77777777" w:rsidR="00E03AE8" w:rsidRDefault="00E03AE8" w:rsidP="00E03AE8">
      <w:pPr>
        <w:pStyle w:val="ListParagraph"/>
        <w:numPr>
          <w:ilvl w:val="0"/>
          <w:numId w:val="10"/>
        </w:numPr>
        <w:rPr>
          <w:rFonts w:eastAsiaTheme="minorHAnsi"/>
        </w:rPr>
      </w:pPr>
      <w:r w:rsidRPr="00E03AE8">
        <w:rPr>
          <w:rFonts w:eastAsiaTheme="minorHAnsi"/>
        </w:rPr>
        <w:t>Darby English, </w:t>
      </w:r>
      <w:r w:rsidRPr="00E03AE8">
        <w:rPr>
          <w:rFonts w:eastAsiaTheme="minorHAnsi"/>
          <w:i/>
          <w:iCs/>
        </w:rPr>
        <w:t>1971: A Year in the Life of Color</w:t>
      </w:r>
      <w:r w:rsidRPr="00E03AE8">
        <w:rPr>
          <w:rFonts w:eastAsiaTheme="minorHAnsi"/>
        </w:rPr>
        <w:t xml:space="preserve">. Chicago: University of Chicago Press, 2016. </w:t>
      </w:r>
    </w:p>
    <w:p w14:paraId="6F2E8277" w14:textId="77777777" w:rsidR="00E03AE8" w:rsidRDefault="00E03AE8" w:rsidP="00E03AE8">
      <w:pPr>
        <w:pStyle w:val="ListParagraph"/>
        <w:numPr>
          <w:ilvl w:val="0"/>
          <w:numId w:val="10"/>
        </w:numPr>
        <w:rPr>
          <w:rFonts w:eastAsiaTheme="minorHAnsi"/>
        </w:rPr>
      </w:pPr>
      <w:r w:rsidRPr="00E03AE8">
        <w:rPr>
          <w:rFonts w:eastAsiaTheme="minorHAnsi"/>
        </w:rPr>
        <w:t>Lisa Saltzman, </w:t>
      </w:r>
      <w:proofErr w:type="spellStart"/>
      <w:r w:rsidRPr="00E03AE8">
        <w:rPr>
          <w:rFonts w:eastAsiaTheme="minorHAnsi"/>
          <w:i/>
          <w:iCs/>
        </w:rPr>
        <w:t>Daguerrotypes</w:t>
      </w:r>
      <w:proofErr w:type="spellEnd"/>
      <w:r w:rsidRPr="00E03AE8">
        <w:rPr>
          <w:rFonts w:eastAsiaTheme="minorHAnsi"/>
          <w:i/>
          <w:iCs/>
        </w:rPr>
        <w:t>: Fugitive Subjects, Contemporary Objects</w:t>
      </w:r>
      <w:r w:rsidRPr="00E03AE8">
        <w:rPr>
          <w:rFonts w:eastAsiaTheme="minorHAnsi"/>
        </w:rPr>
        <w:t>. Chicago: University of Chicago Press, 2015.</w:t>
      </w:r>
    </w:p>
    <w:p w14:paraId="67AFBDA5" w14:textId="45AF3FC7" w:rsidR="00E03AE8" w:rsidRPr="00E03AE8" w:rsidRDefault="00E03AE8" w:rsidP="00E03AE8">
      <w:pPr>
        <w:pStyle w:val="ListParagraph"/>
        <w:numPr>
          <w:ilvl w:val="0"/>
          <w:numId w:val="10"/>
        </w:numPr>
        <w:rPr>
          <w:rFonts w:eastAsiaTheme="minorHAnsi"/>
        </w:rPr>
      </w:pPr>
      <w:r w:rsidRPr="00E03AE8">
        <w:rPr>
          <w:rFonts w:eastAsiaTheme="minorHAnsi"/>
        </w:rPr>
        <w:t xml:space="preserve">Ann </w:t>
      </w:r>
      <w:proofErr w:type="spellStart"/>
      <w:r w:rsidRPr="00E03AE8">
        <w:rPr>
          <w:rFonts w:eastAsiaTheme="minorHAnsi"/>
        </w:rPr>
        <w:t>Cvetkovich</w:t>
      </w:r>
      <w:proofErr w:type="spellEnd"/>
      <w:r w:rsidRPr="00E03AE8">
        <w:rPr>
          <w:rFonts w:eastAsiaTheme="minorHAnsi"/>
        </w:rPr>
        <w:t>, </w:t>
      </w:r>
      <w:r w:rsidRPr="00E03AE8">
        <w:rPr>
          <w:rFonts w:eastAsiaTheme="minorHAnsi"/>
          <w:i/>
          <w:iCs/>
        </w:rPr>
        <w:t>Depression: A Public Feeling</w:t>
      </w:r>
      <w:r w:rsidRPr="00E03AE8">
        <w:rPr>
          <w:rFonts w:eastAsiaTheme="minorHAnsi"/>
        </w:rPr>
        <w:t xml:space="preserve">. Durham and London: Duke University Press, 2012. (available as an </w:t>
      </w:r>
      <w:proofErr w:type="spellStart"/>
      <w:r w:rsidRPr="00E03AE8">
        <w:rPr>
          <w:rFonts w:eastAsiaTheme="minorHAnsi"/>
        </w:rPr>
        <w:t>ebook</w:t>
      </w:r>
      <w:proofErr w:type="spellEnd"/>
      <w:r w:rsidRPr="00E03AE8">
        <w:rPr>
          <w:rFonts w:eastAsiaTheme="minorHAnsi"/>
        </w:rPr>
        <w:t xml:space="preserve"> on the UW Library websites)</w:t>
      </w:r>
    </w:p>
    <w:p w14:paraId="6590119F" w14:textId="4FBFBA5C" w:rsidR="0091651F" w:rsidRDefault="00276A0B">
      <w:r>
        <w:t>All other required readings are available as PDFs on Canvas</w:t>
      </w:r>
      <w:r w:rsidR="00FC488D">
        <w:t xml:space="preserve"> or as links included below</w:t>
      </w:r>
      <w:r>
        <w:t xml:space="preserve">. </w:t>
      </w:r>
    </w:p>
    <w:p w14:paraId="531551F6" w14:textId="73F63A15" w:rsidR="0091651F" w:rsidRDefault="0091651F"/>
    <w:p w14:paraId="22AE02B6" w14:textId="77777777" w:rsidR="00F83589" w:rsidRDefault="00F83589">
      <w:pPr>
        <w:rPr>
          <w:b/>
        </w:rPr>
      </w:pPr>
    </w:p>
    <w:p w14:paraId="1BC37156" w14:textId="77777777" w:rsidR="00F83589" w:rsidRDefault="00F83589">
      <w:pPr>
        <w:rPr>
          <w:b/>
        </w:rPr>
      </w:pPr>
    </w:p>
    <w:p w14:paraId="481F312A" w14:textId="08AACE92" w:rsidR="0091651F" w:rsidRDefault="001051E1">
      <w:pPr>
        <w:rPr>
          <w:b/>
        </w:rPr>
      </w:pPr>
      <w:r>
        <w:rPr>
          <w:b/>
        </w:rPr>
        <w:t>Weekly schedule</w:t>
      </w:r>
    </w:p>
    <w:p w14:paraId="73E518D0" w14:textId="27831729" w:rsidR="00181115" w:rsidRPr="00181115" w:rsidRDefault="00181115">
      <w:r>
        <w:t xml:space="preserve">Note that you must complete the weekly readings </w:t>
      </w:r>
      <w:r w:rsidRPr="00181115">
        <w:rPr>
          <w:u w:val="single"/>
        </w:rPr>
        <w:t>before</w:t>
      </w:r>
      <w:r>
        <w:t xml:space="preserve"> class each week (i.e. the English before 9am on Friday, April 12</w:t>
      </w:r>
      <w:r w:rsidRPr="00181115">
        <w:rPr>
          <w:vertAlign w:val="superscript"/>
        </w:rPr>
        <w:t>th</w:t>
      </w:r>
      <w:r>
        <w:t>, etc</w:t>
      </w:r>
      <w:r w:rsidR="009C31F1">
        <w:t>.</w:t>
      </w:r>
      <w:r>
        <w:t xml:space="preserve">). </w:t>
      </w:r>
    </w:p>
    <w:p w14:paraId="5D86F3F2" w14:textId="77777777" w:rsidR="001051E1" w:rsidRDefault="001051E1"/>
    <w:tbl>
      <w:tblPr>
        <w:tblStyle w:val="TableGrid"/>
        <w:tblW w:w="0" w:type="auto"/>
        <w:tblLook w:val="04A0" w:firstRow="1" w:lastRow="0" w:firstColumn="1" w:lastColumn="0" w:noHBand="0" w:noVBand="1"/>
      </w:tblPr>
      <w:tblGrid>
        <w:gridCol w:w="751"/>
        <w:gridCol w:w="3102"/>
        <w:gridCol w:w="5497"/>
      </w:tblGrid>
      <w:tr w:rsidR="00247F84" w14:paraId="45A72366" w14:textId="77777777" w:rsidTr="00EE4B9C">
        <w:tc>
          <w:tcPr>
            <w:tcW w:w="802" w:type="dxa"/>
          </w:tcPr>
          <w:p w14:paraId="74BC40E8" w14:textId="77777777" w:rsidR="00247F84" w:rsidRDefault="00247F84">
            <w:r>
              <w:t>Date</w:t>
            </w:r>
          </w:p>
        </w:tc>
        <w:tc>
          <w:tcPr>
            <w:tcW w:w="2793" w:type="dxa"/>
          </w:tcPr>
          <w:p w14:paraId="75130920" w14:textId="22E403CA" w:rsidR="00247F84" w:rsidRDefault="00247F84">
            <w:r>
              <w:t xml:space="preserve">Theme and Artists </w:t>
            </w:r>
          </w:p>
        </w:tc>
        <w:tc>
          <w:tcPr>
            <w:tcW w:w="5755" w:type="dxa"/>
          </w:tcPr>
          <w:p w14:paraId="765212C6" w14:textId="461CF7DD" w:rsidR="00247F84" w:rsidRDefault="00247F84">
            <w:r>
              <w:t>Readings</w:t>
            </w:r>
          </w:p>
        </w:tc>
      </w:tr>
      <w:tr w:rsidR="00247F84" w14:paraId="54192C69" w14:textId="77777777" w:rsidTr="00EE4B9C">
        <w:tc>
          <w:tcPr>
            <w:tcW w:w="802" w:type="dxa"/>
          </w:tcPr>
          <w:p w14:paraId="3805E86E" w14:textId="12A68D1B" w:rsidR="00247F84" w:rsidRDefault="005A27A1">
            <w:r>
              <w:t>4/5</w:t>
            </w:r>
          </w:p>
        </w:tc>
        <w:tc>
          <w:tcPr>
            <w:tcW w:w="2793" w:type="dxa"/>
          </w:tcPr>
          <w:p w14:paraId="4A46DA90" w14:textId="0991DBD8" w:rsidR="00750769" w:rsidRDefault="00750769">
            <w:r>
              <w:t xml:space="preserve">Introduction </w:t>
            </w:r>
          </w:p>
          <w:p w14:paraId="5ADD59EE" w14:textId="77777777" w:rsidR="00750769" w:rsidRDefault="00750769"/>
          <w:p w14:paraId="29A8225D" w14:textId="1E006397" w:rsidR="00247F84" w:rsidRDefault="00750769">
            <w:r>
              <w:t>Interd</w:t>
            </w:r>
            <w:r w:rsidR="005A27A1">
              <w:t>isciplinarity</w:t>
            </w:r>
            <w:r>
              <w:t>/Intermedia, Part 1</w:t>
            </w:r>
            <w:r w:rsidR="0064593A">
              <w:t xml:space="preserve"> </w:t>
            </w:r>
          </w:p>
          <w:p w14:paraId="21A484DE" w14:textId="77777777" w:rsidR="0064593A" w:rsidRDefault="0064593A"/>
          <w:p w14:paraId="55B29EC6" w14:textId="323B226D" w:rsidR="0064593A" w:rsidRDefault="0064593A"/>
        </w:tc>
        <w:tc>
          <w:tcPr>
            <w:tcW w:w="5755" w:type="dxa"/>
          </w:tcPr>
          <w:p w14:paraId="4081F177" w14:textId="3C8381CE" w:rsidR="00247F84" w:rsidRPr="003978B6" w:rsidRDefault="003978B6">
            <w:r>
              <w:t xml:space="preserve">Shannon </w:t>
            </w:r>
            <w:r w:rsidR="0064593A">
              <w:t>Jackson</w:t>
            </w:r>
            <w:r>
              <w:t xml:space="preserve">, “Social Turns: In Theory and Across the Arts,” in Randy Martin, ed. </w:t>
            </w:r>
            <w:r>
              <w:rPr>
                <w:i/>
              </w:rPr>
              <w:t xml:space="preserve">Routledge Companion to Art and Politics </w:t>
            </w:r>
            <w:r>
              <w:t xml:space="preserve">(New York: Routledge, 2015), pp. 104-113. </w:t>
            </w:r>
          </w:p>
        </w:tc>
      </w:tr>
      <w:tr w:rsidR="00247F84" w14:paraId="4209C346" w14:textId="77777777" w:rsidTr="00EE4B9C">
        <w:tc>
          <w:tcPr>
            <w:tcW w:w="802" w:type="dxa"/>
          </w:tcPr>
          <w:p w14:paraId="64C98B3D" w14:textId="695DDD0B" w:rsidR="00247F84" w:rsidRDefault="005A27A1">
            <w:r>
              <w:t>4/12</w:t>
            </w:r>
          </w:p>
        </w:tc>
        <w:tc>
          <w:tcPr>
            <w:tcW w:w="2793" w:type="dxa"/>
          </w:tcPr>
          <w:p w14:paraId="22EF8DDC" w14:textId="49A26B86" w:rsidR="00247F84" w:rsidRDefault="00750769">
            <w:r>
              <w:t>Color</w:t>
            </w:r>
            <w:r w:rsidR="00795CF3">
              <w:t xml:space="preserve">, </w:t>
            </w:r>
            <w:r>
              <w:t xml:space="preserve">Solidarity </w:t>
            </w:r>
          </w:p>
        </w:tc>
        <w:tc>
          <w:tcPr>
            <w:tcW w:w="5755" w:type="dxa"/>
          </w:tcPr>
          <w:p w14:paraId="0314DF5E" w14:textId="3EEDC515" w:rsidR="00247F84" w:rsidRDefault="005A27A1">
            <w:r>
              <w:t xml:space="preserve">English, </w:t>
            </w:r>
            <w:r>
              <w:rPr>
                <w:i/>
              </w:rPr>
              <w:t>1971: A Year in the Life of Color</w:t>
            </w:r>
            <w:r w:rsidR="00255532">
              <w:t xml:space="preserve"> </w:t>
            </w:r>
          </w:p>
          <w:p w14:paraId="42AE9723" w14:textId="3EE8F1C2" w:rsidR="00D60F43" w:rsidRDefault="00D60F43"/>
          <w:p w14:paraId="098F635E" w14:textId="757253E2" w:rsidR="00D60F43" w:rsidRPr="001B06F4" w:rsidRDefault="00A10399">
            <w:pPr>
              <w:rPr>
                <w:b/>
              </w:rPr>
            </w:pPr>
            <w:r w:rsidRPr="001B06F4">
              <w:rPr>
                <w:b/>
              </w:rPr>
              <w:t>English r</w:t>
            </w:r>
            <w:r w:rsidR="00D60F43" w:rsidRPr="001B06F4">
              <w:rPr>
                <w:b/>
              </w:rPr>
              <w:t xml:space="preserve">eading response due </w:t>
            </w:r>
            <w:r w:rsidRPr="001B06F4">
              <w:rPr>
                <w:b/>
              </w:rPr>
              <w:t>Monday, April 15</w:t>
            </w:r>
            <w:r w:rsidRPr="001B06F4">
              <w:rPr>
                <w:b/>
                <w:vertAlign w:val="superscript"/>
              </w:rPr>
              <w:t>th</w:t>
            </w:r>
            <w:r w:rsidRPr="001B06F4">
              <w:rPr>
                <w:b/>
              </w:rPr>
              <w:t xml:space="preserve"> at 8pm via Canvas</w:t>
            </w:r>
          </w:p>
          <w:p w14:paraId="5B21FD92" w14:textId="4937F73E" w:rsidR="00FE14DD" w:rsidRPr="005A27A1" w:rsidRDefault="00FE14DD">
            <w:pPr>
              <w:rPr>
                <w:i/>
              </w:rPr>
            </w:pPr>
          </w:p>
        </w:tc>
      </w:tr>
      <w:tr w:rsidR="005A27A1" w14:paraId="256EDFB3" w14:textId="77777777" w:rsidTr="00EE4B9C">
        <w:tc>
          <w:tcPr>
            <w:tcW w:w="802" w:type="dxa"/>
          </w:tcPr>
          <w:p w14:paraId="03646F53" w14:textId="2E395D6F" w:rsidR="005A27A1" w:rsidRDefault="005A27A1">
            <w:r>
              <w:t>4/19</w:t>
            </w:r>
          </w:p>
        </w:tc>
        <w:tc>
          <w:tcPr>
            <w:tcW w:w="2793" w:type="dxa"/>
          </w:tcPr>
          <w:p w14:paraId="29EF47D2" w14:textId="50AA0A08" w:rsidR="005A27A1" w:rsidRDefault="00750769" w:rsidP="005A27A1">
            <w:r>
              <w:t>Pop</w:t>
            </w:r>
            <w:r w:rsidR="00EE4B9C">
              <w:t>, Objects,</w:t>
            </w:r>
            <w:r>
              <w:t xml:space="preserve"> and the Excessive Body </w:t>
            </w:r>
          </w:p>
          <w:p w14:paraId="3F0F835E" w14:textId="7809C59E" w:rsidR="00750769" w:rsidRDefault="00750769" w:rsidP="005A27A1"/>
        </w:tc>
        <w:tc>
          <w:tcPr>
            <w:tcW w:w="5755" w:type="dxa"/>
          </w:tcPr>
          <w:p w14:paraId="200D4ADE" w14:textId="47A89190" w:rsidR="004813F7" w:rsidRDefault="004813F7">
            <w:r>
              <w:t xml:space="preserve">Cornelia Butler, “Soft Body/Soft Sculpture: The Gendered Surrealism of Alina </w:t>
            </w:r>
            <w:proofErr w:type="spellStart"/>
            <w:r>
              <w:t>Szapocznikow</w:t>
            </w:r>
            <w:proofErr w:type="spellEnd"/>
            <w:r>
              <w:t xml:space="preserve">,” in Elena </w:t>
            </w:r>
            <w:proofErr w:type="spellStart"/>
            <w:r>
              <w:t>Filipovic</w:t>
            </w:r>
            <w:proofErr w:type="spellEnd"/>
            <w:r>
              <w:t xml:space="preserve"> and Joanna </w:t>
            </w:r>
            <w:proofErr w:type="spellStart"/>
            <w:r>
              <w:t>Mytkowska</w:t>
            </w:r>
            <w:proofErr w:type="spellEnd"/>
            <w:r>
              <w:t xml:space="preserve">, eds., </w:t>
            </w:r>
            <w:r>
              <w:rPr>
                <w:i/>
              </w:rPr>
              <w:t xml:space="preserve">Alina </w:t>
            </w:r>
            <w:proofErr w:type="spellStart"/>
            <w:r>
              <w:rPr>
                <w:i/>
              </w:rPr>
              <w:t>Szapocznikow</w:t>
            </w:r>
            <w:proofErr w:type="spellEnd"/>
            <w:r>
              <w:rPr>
                <w:i/>
              </w:rPr>
              <w:t xml:space="preserve">: Sculpture Undone 1955-1972 </w:t>
            </w:r>
            <w:r>
              <w:t xml:space="preserve">(New York and Brussels: Museum of Modern Art and </w:t>
            </w:r>
            <w:proofErr w:type="spellStart"/>
            <w:r>
              <w:t>Mercatorfonds</w:t>
            </w:r>
            <w:proofErr w:type="spellEnd"/>
            <w:r>
              <w:t xml:space="preserve">) pp. 32-45. </w:t>
            </w:r>
          </w:p>
          <w:p w14:paraId="28E5141C" w14:textId="774144FE" w:rsidR="00BD7F84" w:rsidRDefault="00BD7F84"/>
          <w:p w14:paraId="06B7D85E" w14:textId="4F90D367" w:rsidR="00B9210C" w:rsidRDefault="00BD7F84">
            <w:proofErr w:type="spellStart"/>
            <w:r>
              <w:t>Doryun</w:t>
            </w:r>
            <w:proofErr w:type="spellEnd"/>
            <w:r>
              <w:t xml:space="preserve"> Chong, “When the Body Changes into New Forms: Tracing </w:t>
            </w:r>
            <w:proofErr w:type="spellStart"/>
            <w:r>
              <w:t>Tetsumi</w:t>
            </w:r>
            <w:proofErr w:type="spellEnd"/>
            <w:r>
              <w:t xml:space="preserve"> Kudo,” in</w:t>
            </w:r>
            <w:r w:rsidR="0043679B">
              <w:t xml:space="preserve"> Chong, ed.</w:t>
            </w:r>
            <w:r>
              <w:t xml:space="preserve"> </w:t>
            </w:r>
            <w:proofErr w:type="spellStart"/>
            <w:r w:rsidR="0043679B">
              <w:rPr>
                <w:i/>
              </w:rPr>
              <w:t>Tetsumi</w:t>
            </w:r>
            <w:proofErr w:type="spellEnd"/>
            <w:r w:rsidR="0043679B">
              <w:rPr>
                <w:i/>
              </w:rPr>
              <w:t xml:space="preserve"> Kudo: Garden of Metamorphosis </w:t>
            </w:r>
            <w:r w:rsidR="0043679B">
              <w:t xml:space="preserve">(Minneapolis: Walker Art Center, 2008) </w:t>
            </w:r>
            <w:r>
              <w:t>pp. 24-49.</w:t>
            </w:r>
          </w:p>
          <w:p w14:paraId="1749E001" w14:textId="08235411" w:rsidR="00B9210C" w:rsidRDefault="00B9210C"/>
          <w:p w14:paraId="724732C4" w14:textId="7C993ECF" w:rsidR="00B9210C" w:rsidRDefault="00B9210C">
            <w:r>
              <w:t>Silvan Tomkins,</w:t>
            </w:r>
            <w:r w:rsidR="004813F7">
              <w:t xml:space="preserve"> “What Are Affects?</w:t>
            </w:r>
            <w:r w:rsidR="003126C1">
              <w:t>”</w:t>
            </w:r>
            <w:r w:rsidR="004813F7">
              <w:t xml:space="preserve"> [extract] in </w:t>
            </w:r>
            <w:r w:rsidR="004813F7" w:rsidRPr="004813F7">
              <w:t xml:space="preserve">Eve </w:t>
            </w:r>
            <w:proofErr w:type="spellStart"/>
            <w:r w:rsidR="004813F7" w:rsidRPr="004813F7">
              <w:t>Kosofsky</w:t>
            </w:r>
            <w:proofErr w:type="spellEnd"/>
            <w:r w:rsidR="004813F7">
              <w:t xml:space="preserve"> Sedgwick</w:t>
            </w:r>
            <w:r w:rsidR="004813F7" w:rsidRPr="004813F7">
              <w:t xml:space="preserve"> and Adam Frank, ed. </w:t>
            </w:r>
            <w:r w:rsidR="004813F7" w:rsidRPr="004813F7">
              <w:rPr>
                <w:i/>
                <w:iCs/>
              </w:rPr>
              <w:t>Shame and Its Sisters: A Silvan Tomkins Reader</w:t>
            </w:r>
            <w:r w:rsidR="004813F7" w:rsidRPr="004813F7">
              <w:t xml:space="preserve">. </w:t>
            </w:r>
            <w:proofErr w:type="spellStart"/>
            <w:r w:rsidR="004813F7" w:rsidRPr="004813F7">
              <w:t>Durhan</w:t>
            </w:r>
            <w:proofErr w:type="spellEnd"/>
            <w:r w:rsidR="004813F7" w:rsidRPr="004813F7">
              <w:t>, NC: Duke University Press, 1995.</w:t>
            </w:r>
            <w:r>
              <w:t xml:space="preserve"> pp. 35-61</w:t>
            </w:r>
            <w:r w:rsidR="004813F7">
              <w:t>.</w:t>
            </w:r>
          </w:p>
          <w:p w14:paraId="0D599324" w14:textId="406E8972" w:rsidR="00C1687D" w:rsidRDefault="00C1687D"/>
          <w:p w14:paraId="3FAF957D" w14:textId="02754A8D" w:rsidR="003B274E" w:rsidRDefault="003B274E" w:rsidP="00C1687D">
            <w:r>
              <w:t xml:space="preserve">Optional: Branislav </w:t>
            </w:r>
            <w:proofErr w:type="spellStart"/>
            <w:r w:rsidRPr="003B274E">
              <w:t>Dimitrijević</w:t>
            </w:r>
            <w:proofErr w:type="spellEnd"/>
            <w:r w:rsidRPr="003B274E">
              <w:t xml:space="preserve">, </w:t>
            </w:r>
            <w:r>
              <w:t>“</w:t>
            </w:r>
            <w:r w:rsidRPr="003B274E">
              <w:t xml:space="preserve">Pop Art and the Socialist </w:t>
            </w:r>
            <w:r>
              <w:t>‘</w:t>
            </w:r>
            <w:r w:rsidRPr="003B274E">
              <w:t>Thing</w:t>
            </w:r>
            <w:r>
              <w:t>’</w:t>
            </w:r>
            <w:r w:rsidRPr="003B274E">
              <w:t xml:space="preserve">: </w:t>
            </w:r>
            <w:proofErr w:type="spellStart"/>
            <w:r w:rsidRPr="003B274E">
              <w:t>Dušan</w:t>
            </w:r>
            <w:proofErr w:type="spellEnd"/>
            <w:r w:rsidRPr="003B274E">
              <w:t xml:space="preserve"> </w:t>
            </w:r>
            <w:proofErr w:type="spellStart"/>
            <w:r w:rsidRPr="003B274E">
              <w:t>Otašević</w:t>
            </w:r>
            <w:proofErr w:type="spellEnd"/>
            <w:r w:rsidRPr="003B274E">
              <w:t xml:space="preserve"> in the 1960s.</w:t>
            </w:r>
            <w:r>
              <w:t>”</w:t>
            </w:r>
            <w:r w:rsidRPr="003B274E">
              <w:t xml:space="preserve"> </w:t>
            </w:r>
            <w:r w:rsidRPr="003B274E">
              <w:rPr>
                <w:i/>
                <w:iCs/>
              </w:rPr>
              <w:t>Tate Papers</w:t>
            </w:r>
            <w:r w:rsidRPr="003B274E">
              <w:t>, no. 24 (Autumn 2015).</w:t>
            </w:r>
          </w:p>
          <w:p w14:paraId="6D526983" w14:textId="6E1A28BD" w:rsidR="00C1687D" w:rsidRDefault="00364E1A">
            <w:hyperlink r:id="rId8" w:history="1">
              <w:r w:rsidR="003B274E" w:rsidRPr="00C04189">
                <w:rPr>
                  <w:rStyle w:val="Hyperlink"/>
                </w:rPr>
                <w:t>https://www.tate.org.uk/research/publications/tate-papers/24/pop-art-and-the-socialist-thing-dusan-otasevic-in-the-1960s</w:t>
              </w:r>
            </w:hyperlink>
          </w:p>
          <w:p w14:paraId="512F7A2D" w14:textId="4B00809A" w:rsidR="00C1687D" w:rsidRDefault="00C1687D"/>
        </w:tc>
      </w:tr>
      <w:tr w:rsidR="005A27A1" w14:paraId="182F5B8F" w14:textId="77777777" w:rsidTr="00EE4B9C">
        <w:tc>
          <w:tcPr>
            <w:tcW w:w="802" w:type="dxa"/>
          </w:tcPr>
          <w:p w14:paraId="0D85D150" w14:textId="51AAB0B8" w:rsidR="005A27A1" w:rsidRDefault="005A27A1">
            <w:r>
              <w:t>4/26</w:t>
            </w:r>
          </w:p>
        </w:tc>
        <w:tc>
          <w:tcPr>
            <w:tcW w:w="2793" w:type="dxa"/>
          </w:tcPr>
          <w:p w14:paraId="3539460F" w14:textId="57440E19" w:rsidR="005A27A1" w:rsidRDefault="00750769">
            <w:r>
              <w:t xml:space="preserve">Painting and </w:t>
            </w:r>
            <w:r w:rsidR="007737F1">
              <w:t>its</w:t>
            </w:r>
            <w:r>
              <w:t xml:space="preserve"> Effects</w:t>
            </w:r>
          </w:p>
          <w:p w14:paraId="61BBA21B" w14:textId="3361424D" w:rsidR="00750769" w:rsidRDefault="00750769"/>
        </w:tc>
        <w:tc>
          <w:tcPr>
            <w:tcW w:w="5755" w:type="dxa"/>
          </w:tcPr>
          <w:p w14:paraId="48C98C1D" w14:textId="01614A94" w:rsidR="00750769" w:rsidRPr="00750769" w:rsidRDefault="00750769" w:rsidP="00750769">
            <w:r w:rsidRPr="00750769">
              <w:t>Isabelle Graw</w:t>
            </w:r>
            <w:r>
              <w:t xml:space="preserve">, </w:t>
            </w:r>
            <w:r w:rsidRPr="00750769">
              <w:rPr>
                <w:i/>
              </w:rPr>
              <w:t>The Love of Painting: Genealogy of a Success Medium</w:t>
            </w:r>
            <w:r w:rsidR="00824631">
              <w:t xml:space="preserve">. Berlin: Sternberg Press, 2018, pp. 9-27, 88-134, </w:t>
            </w:r>
            <w:r w:rsidR="004A2510">
              <w:t>335-347.</w:t>
            </w:r>
          </w:p>
          <w:p w14:paraId="7646E0EA" w14:textId="77777777" w:rsidR="005A27A1" w:rsidRDefault="005A27A1"/>
        </w:tc>
      </w:tr>
      <w:tr w:rsidR="005A27A1" w14:paraId="746768B4" w14:textId="77777777" w:rsidTr="00EE4B9C">
        <w:tc>
          <w:tcPr>
            <w:tcW w:w="802" w:type="dxa"/>
          </w:tcPr>
          <w:p w14:paraId="4B155A9C" w14:textId="39240D64" w:rsidR="005A27A1" w:rsidRDefault="005A27A1">
            <w:r>
              <w:lastRenderedPageBreak/>
              <w:t>5/3</w:t>
            </w:r>
          </w:p>
        </w:tc>
        <w:tc>
          <w:tcPr>
            <w:tcW w:w="2793" w:type="dxa"/>
          </w:tcPr>
          <w:p w14:paraId="75BE302D" w14:textId="77777777" w:rsidR="005A27A1" w:rsidRDefault="00750769">
            <w:r>
              <w:t>Interdisciplinarity/Intermedia, Part 2</w:t>
            </w:r>
          </w:p>
          <w:p w14:paraId="0D41FE59" w14:textId="5A7280A5" w:rsidR="00C1687D" w:rsidRDefault="00C1687D"/>
        </w:tc>
        <w:tc>
          <w:tcPr>
            <w:tcW w:w="5755" w:type="dxa"/>
          </w:tcPr>
          <w:p w14:paraId="4FEBC33F" w14:textId="2715777C" w:rsidR="00255532" w:rsidRPr="00255532" w:rsidRDefault="00255532" w:rsidP="00255532">
            <w:r w:rsidRPr="00255532">
              <w:t>Saltzman, </w:t>
            </w:r>
            <w:proofErr w:type="spellStart"/>
            <w:r w:rsidRPr="00255532">
              <w:rPr>
                <w:i/>
                <w:iCs/>
              </w:rPr>
              <w:t>Daguerrotypes</w:t>
            </w:r>
            <w:proofErr w:type="spellEnd"/>
          </w:p>
          <w:p w14:paraId="0C2F8D7C" w14:textId="77777777" w:rsidR="00750769" w:rsidRDefault="00750769">
            <w:pPr>
              <w:rPr>
                <w:i/>
              </w:rPr>
            </w:pPr>
          </w:p>
          <w:p w14:paraId="17538CC4" w14:textId="39E3E388" w:rsidR="001330EB" w:rsidRPr="001B06F4" w:rsidRDefault="001330EB" w:rsidP="001330EB">
            <w:pPr>
              <w:rPr>
                <w:b/>
              </w:rPr>
            </w:pPr>
            <w:r w:rsidRPr="001B06F4">
              <w:rPr>
                <w:b/>
              </w:rPr>
              <w:t>Salzman reading response due Monday, May 6</w:t>
            </w:r>
            <w:r w:rsidRPr="001B06F4">
              <w:rPr>
                <w:b/>
                <w:vertAlign w:val="superscript"/>
              </w:rPr>
              <w:t>th</w:t>
            </w:r>
            <w:r w:rsidRPr="001B06F4">
              <w:rPr>
                <w:b/>
              </w:rPr>
              <w:t xml:space="preserve"> at 8pm via Canvas</w:t>
            </w:r>
          </w:p>
          <w:p w14:paraId="37C7507C" w14:textId="5DDD41BB" w:rsidR="001330EB" w:rsidRPr="001330EB" w:rsidRDefault="001330EB"/>
        </w:tc>
      </w:tr>
      <w:tr w:rsidR="005A27A1" w14:paraId="18C93E2D" w14:textId="77777777" w:rsidTr="00EE4B9C">
        <w:tc>
          <w:tcPr>
            <w:tcW w:w="802" w:type="dxa"/>
          </w:tcPr>
          <w:p w14:paraId="6D02B7C0" w14:textId="049A98F5" w:rsidR="005A27A1" w:rsidRDefault="005A27A1">
            <w:r>
              <w:t>5/10</w:t>
            </w:r>
          </w:p>
        </w:tc>
        <w:tc>
          <w:tcPr>
            <w:tcW w:w="2793" w:type="dxa"/>
          </w:tcPr>
          <w:p w14:paraId="7747973E" w14:textId="77777777" w:rsidR="005A27A1" w:rsidRDefault="00FE14DD">
            <w:r>
              <w:t>Conceptualism, Photography, Institutional Critique</w:t>
            </w:r>
          </w:p>
          <w:p w14:paraId="1C503B7C" w14:textId="7BAB5778" w:rsidR="00FE14DD" w:rsidRDefault="00FE14DD"/>
        </w:tc>
        <w:tc>
          <w:tcPr>
            <w:tcW w:w="5755" w:type="dxa"/>
          </w:tcPr>
          <w:p w14:paraId="35DC35C3" w14:textId="283E1FE8" w:rsidR="007D3AD5" w:rsidRPr="007D3AD5" w:rsidRDefault="007D3AD5" w:rsidP="007D3AD5">
            <w:r>
              <w:t xml:space="preserve">Rosalind </w:t>
            </w:r>
            <w:r w:rsidRPr="007D3AD5">
              <w:t xml:space="preserve">Krauss, </w:t>
            </w:r>
            <w:r w:rsidRPr="007D3AD5">
              <w:rPr>
                <w:i/>
                <w:iCs/>
              </w:rPr>
              <w:t>A Voyage on the North Sea: Art in the Age of the Post-Medium Condition</w:t>
            </w:r>
            <w:r w:rsidRPr="007D3AD5">
              <w:t>.  London: Thames and Hudson, 1999.</w:t>
            </w:r>
          </w:p>
          <w:p w14:paraId="52846435" w14:textId="77777777" w:rsidR="004A2510" w:rsidRDefault="004A2510"/>
          <w:p w14:paraId="59B23E0F" w14:textId="0182E8F3" w:rsidR="00FE14DD" w:rsidRDefault="00572845">
            <w:r>
              <w:t xml:space="preserve">Martha </w:t>
            </w:r>
            <w:proofErr w:type="spellStart"/>
            <w:r w:rsidRPr="00572845">
              <w:t>Rosler</w:t>
            </w:r>
            <w:proofErr w:type="spellEnd"/>
            <w:r w:rsidRPr="00572845">
              <w:t xml:space="preserve">, </w:t>
            </w:r>
            <w:r>
              <w:t>“</w:t>
            </w:r>
            <w:r w:rsidRPr="00572845">
              <w:t>In, around and Afterthoughts (on Documentary Photography).</w:t>
            </w:r>
            <w:r>
              <w:t>”</w:t>
            </w:r>
            <w:r w:rsidRPr="00572845">
              <w:t xml:space="preserve"> In </w:t>
            </w:r>
            <w:proofErr w:type="gramStart"/>
            <w:r w:rsidRPr="00572845">
              <w:rPr>
                <w:i/>
                <w:iCs/>
              </w:rPr>
              <w:t>The</w:t>
            </w:r>
            <w:proofErr w:type="gramEnd"/>
            <w:r w:rsidRPr="00572845">
              <w:rPr>
                <w:i/>
                <w:iCs/>
              </w:rPr>
              <w:t xml:space="preserve"> Contest of Meaning: Critical Histories of Photography</w:t>
            </w:r>
            <w:r w:rsidRPr="00572845">
              <w:t>, edited by Richard Bolton, 302-40. Cambridge, MA: MIT Press, 1990 [1981].</w:t>
            </w:r>
          </w:p>
          <w:p w14:paraId="162F6442" w14:textId="3325F160" w:rsidR="00E965D5" w:rsidRDefault="00E965D5"/>
          <w:p w14:paraId="51A9B419" w14:textId="6FCE7988" w:rsidR="00E965D5" w:rsidRDefault="00E965D5">
            <w:r>
              <w:t xml:space="preserve">Optional: Alexander </w:t>
            </w:r>
            <w:proofErr w:type="spellStart"/>
            <w:r>
              <w:t>Alberro</w:t>
            </w:r>
            <w:proofErr w:type="spellEnd"/>
            <w:r>
              <w:t xml:space="preserve">, “Reconsidering Conceptual Art, 1966-77,” in </w:t>
            </w:r>
            <w:proofErr w:type="spellStart"/>
            <w:r w:rsidRPr="004A2510">
              <w:t>Alberro</w:t>
            </w:r>
            <w:proofErr w:type="spellEnd"/>
            <w:r w:rsidRPr="004A2510">
              <w:t xml:space="preserve"> and Blake Stimson, ed</w:t>
            </w:r>
            <w:r>
              <w:t>s</w:t>
            </w:r>
            <w:r w:rsidRPr="004A2510">
              <w:t xml:space="preserve">. </w:t>
            </w:r>
            <w:r w:rsidRPr="004A2510">
              <w:rPr>
                <w:i/>
                <w:iCs/>
              </w:rPr>
              <w:t>Conceptual Art: A Critical Anthology</w:t>
            </w:r>
            <w:r w:rsidRPr="004A2510">
              <w:t>. Cambridge and London: MIT Press, 1999</w:t>
            </w:r>
            <w:r>
              <w:t>, pp. xvii-xxx.</w:t>
            </w:r>
          </w:p>
          <w:p w14:paraId="4D06CBE7" w14:textId="7A1A300C" w:rsidR="00572845" w:rsidRDefault="00572845"/>
        </w:tc>
      </w:tr>
      <w:tr w:rsidR="005A27A1" w14:paraId="017D191C" w14:textId="77777777" w:rsidTr="00EE4B9C">
        <w:tc>
          <w:tcPr>
            <w:tcW w:w="802" w:type="dxa"/>
          </w:tcPr>
          <w:p w14:paraId="5267B44A" w14:textId="5E70C2BE" w:rsidR="005A27A1" w:rsidRDefault="005A27A1">
            <w:r>
              <w:t>5/17</w:t>
            </w:r>
          </w:p>
        </w:tc>
        <w:tc>
          <w:tcPr>
            <w:tcW w:w="2793" w:type="dxa"/>
          </w:tcPr>
          <w:p w14:paraId="520A2DFE" w14:textId="67C439EF" w:rsidR="005A27A1" w:rsidRDefault="005D0A2D">
            <w:proofErr w:type="spellStart"/>
            <w:r>
              <w:t>Neoconstructivism</w:t>
            </w:r>
            <w:proofErr w:type="spellEnd"/>
            <w:r>
              <w:t xml:space="preserve">, </w:t>
            </w:r>
            <w:r w:rsidR="00164998">
              <w:t>Networks</w:t>
            </w:r>
            <w:r>
              <w:t>, and Public</w:t>
            </w:r>
            <w:r w:rsidR="00164998">
              <w:t>s</w:t>
            </w:r>
          </w:p>
          <w:p w14:paraId="6F7C668D" w14:textId="6A4AC8E7" w:rsidR="005D0A2D" w:rsidRDefault="005D0A2D"/>
        </w:tc>
        <w:tc>
          <w:tcPr>
            <w:tcW w:w="5755" w:type="dxa"/>
          </w:tcPr>
          <w:p w14:paraId="54FF12AD" w14:textId="5C9974CF" w:rsidR="005D0A2D" w:rsidRDefault="00164998">
            <w:r>
              <w:t>Arm</w:t>
            </w:r>
            <w:r w:rsidR="00B75F68">
              <w:t>i</w:t>
            </w:r>
            <w:r>
              <w:t xml:space="preserve">n </w:t>
            </w:r>
            <w:r w:rsidRPr="00164998">
              <w:t xml:space="preserve">Medosch, </w:t>
            </w:r>
            <w:r w:rsidRPr="00164998">
              <w:rPr>
                <w:i/>
                <w:iCs/>
              </w:rPr>
              <w:t>New Tendencies: Art at the Threshold of the Information Revolution (1961 - 1978)</w:t>
            </w:r>
            <w:r w:rsidRPr="00164998">
              <w:t>.  Cambridge, MA: MIT Press, 2016</w:t>
            </w:r>
            <w:r>
              <w:t>, pp. 1-65.</w:t>
            </w:r>
          </w:p>
          <w:p w14:paraId="6AFCE738" w14:textId="033F36AD" w:rsidR="00164998" w:rsidRDefault="00164998"/>
          <w:p w14:paraId="2B212A8B" w14:textId="6401E0B9" w:rsidR="00164998" w:rsidRPr="008E0CF9" w:rsidRDefault="008E0CF9">
            <w:r>
              <w:t xml:space="preserve">Christine Mehring, “Public Options: Christine Mehring on the Art of Charlotte </w:t>
            </w:r>
            <w:proofErr w:type="spellStart"/>
            <w:r>
              <w:t>Posenenske</w:t>
            </w:r>
            <w:proofErr w:type="spellEnd"/>
            <w:r>
              <w:t xml:space="preserve">,” </w:t>
            </w:r>
            <w:proofErr w:type="spellStart"/>
            <w:r>
              <w:rPr>
                <w:i/>
              </w:rPr>
              <w:t>Artforum</w:t>
            </w:r>
            <w:proofErr w:type="spellEnd"/>
            <w:r>
              <w:t xml:space="preserve"> 49 1 (September 2010): 272-281, 352. </w:t>
            </w:r>
          </w:p>
          <w:p w14:paraId="1277301A" w14:textId="5634B687" w:rsidR="005D0A2D" w:rsidRDefault="005D0A2D" w:rsidP="008E0CF9"/>
        </w:tc>
      </w:tr>
      <w:tr w:rsidR="005A27A1" w14:paraId="648C6F9B" w14:textId="77777777" w:rsidTr="00EE4B9C">
        <w:tc>
          <w:tcPr>
            <w:tcW w:w="802" w:type="dxa"/>
          </w:tcPr>
          <w:p w14:paraId="58041081" w14:textId="6CBFA0D1" w:rsidR="005A27A1" w:rsidRDefault="005A27A1">
            <w:r>
              <w:t>5/24</w:t>
            </w:r>
          </w:p>
        </w:tc>
        <w:tc>
          <w:tcPr>
            <w:tcW w:w="2793" w:type="dxa"/>
          </w:tcPr>
          <w:p w14:paraId="2EFA1927" w14:textId="5155A5C5" w:rsidR="005A27A1" w:rsidRDefault="00FE14DD">
            <w:r>
              <w:t>Affect,</w:t>
            </w:r>
            <w:r w:rsidR="00540519">
              <w:t xml:space="preserve"> Craft </w:t>
            </w:r>
          </w:p>
        </w:tc>
        <w:tc>
          <w:tcPr>
            <w:tcW w:w="5755" w:type="dxa"/>
          </w:tcPr>
          <w:p w14:paraId="62E290DC" w14:textId="5378F6D1" w:rsidR="00255532" w:rsidRDefault="00255532" w:rsidP="00255532">
            <w:pPr>
              <w:rPr>
                <w:i/>
                <w:iCs/>
              </w:rPr>
            </w:pPr>
            <w:proofErr w:type="spellStart"/>
            <w:r w:rsidRPr="00255532">
              <w:t>Cvetkovich</w:t>
            </w:r>
            <w:proofErr w:type="spellEnd"/>
            <w:r w:rsidRPr="00255532">
              <w:t>, </w:t>
            </w:r>
            <w:r w:rsidRPr="00255532">
              <w:rPr>
                <w:i/>
                <w:iCs/>
              </w:rPr>
              <w:t>Depression</w:t>
            </w:r>
          </w:p>
          <w:p w14:paraId="62A1A3EA" w14:textId="77777777" w:rsidR="00AD433E" w:rsidRPr="00255532" w:rsidRDefault="00AD433E" w:rsidP="00255532"/>
          <w:p w14:paraId="49FEAB03" w14:textId="0EBFB447" w:rsidR="00FE14DD" w:rsidRPr="001B06F4" w:rsidRDefault="001330EB">
            <w:pPr>
              <w:rPr>
                <w:b/>
              </w:rPr>
            </w:pPr>
            <w:proofErr w:type="spellStart"/>
            <w:r w:rsidRPr="001B06F4">
              <w:rPr>
                <w:b/>
              </w:rPr>
              <w:t>Cvetkovich</w:t>
            </w:r>
            <w:proofErr w:type="spellEnd"/>
            <w:r w:rsidRPr="001B06F4">
              <w:rPr>
                <w:b/>
              </w:rPr>
              <w:t xml:space="preserve"> </w:t>
            </w:r>
            <w:r w:rsidR="001B06F4" w:rsidRPr="001B06F4">
              <w:rPr>
                <w:b/>
              </w:rPr>
              <w:t xml:space="preserve">reading </w:t>
            </w:r>
            <w:r w:rsidRPr="001B06F4">
              <w:rPr>
                <w:b/>
              </w:rPr>
              <w:t>response due Monday, May 27</w:t>
            </w:r>
            <w:r w:rsidRPr="001B06F4">
              <w:rPr>
                <w:b/>
                <w:vertAlign w:val="superscript"/>
              </w:rPr>
              <w:t>th</w:t>
            </w:r>
            <w:r w:rsidRPr="001B06F4">
              <w:rPr>
                <w:b/>
              </w:rPr>
              <w:t xml:space="preserve"> at 8pm via Canvas</w:t>
            </w:r>
          </w:p>
          <w:p w14:paraId="4BA3C369" w14:textId="42156634" w:rsidR="001330EB" w:rsidRPr="001330EB" w:rsidRDefault="001330EB"/>
        </w:tc>
      </w:tr>
      <w:tr w:rsidR="005A27A1" w14:paraId="3254C92D" w14:textId="77777777" w:rsidTr="00EE4B9C">
        <w:tc>
          <w:tcPr>
            <w:tcW w:w="802" w:type="dxa"/>
          </w:tcPr>
          <w:p w14:paraId="0E9065E1" w14:textId="1247EBED" w:rsidR="005A27A1" w:rsidRDefault="005A27A1">
            <w:r>
              <w:t>5/31</w:t>
            </w:r>
          </w:p>
        </w:tc>
        <w:tc>
          <w:tcPr>
            <w:tcW w:w="2793" w:type="dxa"/>
          </w:tcPr>
          <w:p w14:paraId="75265F00" w14:textId="4B5D8CA6" w:rsidR="005A27A1" w:rsidRDefault="005D0A2D">
            <w:r>
              <w:t>Some Tendencies of the 1980s</w:t>
            </w:r>
          </w:p>
          <w:p w14:paraId="54A12F52" w14:textId="419E68C7" w:rsidR="005D0A2D" w:rsidRDefault="005D0A2D"/>
        </w:tc>
        <w:tc>
          <w:tcPr>
            <w:tcW w:w="5755" w:type="dxa"/>
          </w:tcPr>
          <w:p w14:paraId="5D4FB0B5" w14:textId="1352B3C8" w:rsidR="002C3E3B" w:rsidRPr="002C3E3B" w:rsidRDefault="002C3E3B">
            <w:r>
              <w:t xml:space="preserve">Grant </w:t>
            </w:r>
            <w:r w:rsidRPr="002C3E3B">
              <w:t xml:space="preserve">Kester, </w:t>
            </w:r>
            <w:r>
              <w:t>“</w:t>
            </w:r>
            <w:r w:rsidRPr="002C3E3B">
              <w:t>Rhetorical Questions: The Alternative Arts Sector and the Imaginary Public.</w:t>
            </w:r>
            <w:r>
              <w:t>”</w:t>
            </w:r>
            <w:bookmarkStart w:id="0" w:name="_GoBack"/>
            <w:bookmarkEnd w:id="0"/>
            <w:r w:rsidRPr="002C3E3B">
              <w:t xml:space="preserve"> In </w:t>
            </w:r>
            <w:r w:rsidRPr="002C3E3B">
              <w:rPr>
                <w:i/>
                <w:iCs/>
              </w:rPr>
              <w:t>Art, Activism, and Oppositionality: Essays from Afterimage</w:t>
            </w:r>
            <w:r w:rsidRPr="002C3E3B">
              <w:t>, edited by Grant Kester, 103-35. Durham, NC: Duke UP, 1998.</w:t>
            </w:r>
          </w:p>
          <w:p w14:paraId="5305DC86" w14:textId="77777777" w:rsidR="002C3E3B" w:rsidRDefault="002C3E3B">
            <w:pPr>
              <w:rPr>
                <w:strike/>
              </w:rPr>
            </w:pPr>
          </w:p>
          <w:p w14:paraId="064613B9" w14:textId="553AFCEC" w:rsidR="005A27A1" w:rsidRPr="002C3E3B" w:rsidRDefault="005D0A2D">
            <w:pPr>
              <w:rPr>
                <w:strike/>
              </w:rPr>
            </w:pPr>
            <w:r w:rsidRPr="002C3E3B">
              <w:rPr>
                <w:strike/>
              </w:rPr>
              <w:t xml:space="preserve">Amy </w:t>
            </w:r>
            <w:r w:rsidR="0008666D" w:rsidRPr="002C3E3B">
              <w:rPr>
                <w:strike/>
              </w:rPr>
              <w:t xml:space="preserve">Brandt, </w:t>
            </w:r>
            <w:r w:rsidR="0008666D" w:rsidRPr="002C3E3B">
              <w:rPr>
                <w:i/>
                <w:iCs/>
                <w:strike/>
              </w:rPr>
              <w:t>Interplay: Neoconceptual Art of the 1980s</w:t>
            </w:r>
            <w:r w:rsidR="0008666D" w:rsidRPr="002C3E3B">
              <w:rPr>
                <w:strike/>
              </w:rPr>
              <w:t xml:space="preserve">. Cambridge, MA: MIT Press, 2014, pp. 1-20, </w:t>
            </w:r>
            <w:r w:rsidR="00104781" w:rsidRPr="002C3E3B">
              <w:rPr>
                <w:strike/>
              </w:rPr>
              <w:t>85-130.</w:t>
            </w:r>
          </w:p>
          <w:p w14:paraId="0730B64B" w14:textId="72CE11F1" w:rsidR="00807C2B" w:rsidRPr="002C3E3B" w:rsidRDefault="00807C2B">
            <w:pPr>
              <w:rPr>
                <w:strike/>
              </w:rPr>
            </w:pPr>
          </w:p>
          <w:p w14:paraId="6F56DE00" w14:textId="3B17DCA8" w:rsidR="005D0A2D" w:rsidRPr="002C3E3B" w:rsidRDefault="00104781">
            <w:pPr>
              <w:rPr>
                <w:strike/>
              </w:rPr>
            </w:pPr>
            <w:r w:rsidRPr="002C3E3B">
              <w:rPr>
                <w:strike/>
              </w:rPr>
              <w:lastRenderedPageBreak/>
              <w:t xml:space="preserve">Richard Bolton, ed. </w:t>
            </w:r>
            <w:r w:rsidRPr="002C3E3B">
              <w:rPr>
                <w:i/>
                <w:iCs/>
                <w:strike/>
              </w:rPr>
              <w:t>Culture Wars: Documents from the Recent Controversies in the Arts</w:t>
            </w:r>
            <w:r w:rsidRPr="002C3E3B">
              <w:rPr>
                <w:strike/>
              </w:rPr>
              <w:t>. New York: New Press, 1992, 3-25.</w:t>
            </w:r>
          </w:p>
          <w:p w14:paraId="46A13AAD" w14:textId="0CC4A767" w:rsidR="00104781" w:rsidRDefault="00104781"/>
        </w:tc>
      </w:tr>
      <w:tr w:rsidR="005A27A1" w14:paraId="0C3B8664" w14:textId="77777777" w:rsidTr="00EE4B9C">
        <w:tc>
          <w:tcPr>
            <w:tcW w:w="802" w:type="dxa"/>
          </w:tcPr>
          <w:p w14:paraId="5C501E58" w14:textId="5C1B2ED2" w:rsidR="005A27A1" w:rsidRDefault="005A27A1">
            <w:r>
              <w:lastRenderedPageBreak/>
              <w:t>6/7</w:t>
            </w:r>
          </w:p>
        </w:tc>
        <w:tc>
          <w:tcPr>
            <w:tcW w:w="2793" w:type="dxa"/>
          </w:tcPr>
          <w:p w14:paraId="5008B611" w14:textId="77777777" w:rsidR="005A27A1" w:rsidRDefault="00FE14DD">
            <w:r>
              <w:t xml:space="preserve">Performance, Body, Challenge </w:t>
            </w:r>
          </w:p>
          <w:p w14:paraId="08A91008" w14:textId="1106E194" w:rsidR="00FE14DD" w:rsidRDefault="00FE14DD"/>
        </w:tc>
        <w:tc>
          <w:tcPr>
            <w:tcW w:w="5755" w:type="dxa"/>
          </w:tcPr>
          <w:p w14:paraId="19295527" w14:textId="56FF101D" w:rsidR="00C70957" w:rsidRPr="00C70957" w:rsidRDefault="00FE14DD">
            <w:proofErr w:type="gramStart"/>
            <w:r>
              <w:t>Jon McKenzie,</w:t>
            </w:r>
            <w:proofErr w:type="gramEnd"/>
            <w:r>
              <w:t xml:space="preserve"> </w:t>
            </w:r>
            <w:r>
              <w:rPr>
                <w:i/>
              </w:rPr>
              <w:t>Perform or Else</w:t>
            </w:r>
            <w:r w:rsidR="00C70957">
              <w:t>. New York and London: Routledge, 2001, pp. 1-53.</w:t>
            </w:r>
          </w:p>
          <w:p w14:paraId="10C0F2E9" w14:textId="77777777" w:rsidR="00FE14DD" w:rsidRDefault="00FE14DD"/>
          <w:p w14:paraId="713186F3" w14:textId="7523E68F" w:rsidR="00F04B16" w:rsidRDefault="00A26F4F">
            <w:r>
              <w:t xml:space="preserve">Amelia </w:t>
            </w:r>
            <w:r w:rsidRPr="00A26F4F">
              <w:t xml:space="preserve">Jones, </w:t>
            </w:r>
            <w:r>
              <w:t>““</w:t>
            </w:r>
            <w:r w:rsidRPr="00A26F4F">
              <w:t>The Artist Is Present</w:t>
            </w:r>
            <w:r>
              <w:t>”</w:t>
            </w:r>
            <w:r w:rsidRPr="00A26F4F">
              <w:t>: Artistic Re-Enactments and the Impossibility of Presence.</w:t>
            </w:r>
            <w:r>
              <w:t>”</w:t>
            </w:r>
            <w:r w:rsidRPr="00A26F4F">
              <w:t xml:space="preserve"> </w:t>
            </w:r>
            <w:r w:rsidRPr="00A26F4F">
              <w:rPr>
                <w:i/>
                <w:iCs/>
              </w:rPr>
              <w:t xml:space="preserve">TDR </w:t>
            </w:r>
            <w:r w:rsidRPr="00A26F4F">
              <w:t>55, no. 1 (2011): 16-45.</w:t>
            </w:r>
          </w:p>
          <w:p w14:paraId="6317DCB5" w14:textId="77777777" w:rsidR="00A26F4F" w:rsidRDefault="00A26F4F"/>
          <w:p w14:paraId="0CDC6635" w14:textId="7A072F2A" w:rsidR="00F04B16" w:rsidRDefault="00A26F4F">
            <w:r>
              <w:t xml:space="preserve">Davis </w:t>
            </w:r>
            <w:proofErr w:type="spellStart"/>
            <w:r>
              <w:t>Getsy</w:t>
            </w:r>
            <w:proofErr w:type="spellEnd"/>
            <w:r>
              <w:t>, “</w:t>
            </w:r>
            <w:proofErr w:type="spellStart"/>
            <w:r>
              <w:t>Cassils</w:t>
            </w:r>
            <w:proofErr w:type="spellEnd"/>
            <w:r>
              <w:t xml:space="preserve">,” </w:t>
            </w:r>
            <w:proofErr w:type="spellStart"/>
            <w:r>
              <w:rPr>
                <w:i/>
              </w:rPr>
              <w:t>Artforum</w:t>
            </w:r>
            <w:proofErr w:type="spellEnd"/>
            <w:r>
              <w:rPr>
                <w:i/>
              </w:rPr>
              <w:t xml:space="preserve"> </w:t>
            </w:r>
            <w:r w:rsidR="00A948FB">
              <w:t>56 6 (</w:t>
            </w:r>
            <w:r>
              <w:t>February 2018</w:t>
            </w:r>
            <w:r w:rsidR="00A948FB">
              <w:t>):</w:t>
            </w:r>
            <w:r w:rsidR="00AA0970">
              <w:t xml:space="preserve"> </w:t>
            </w:r>
            <w:hyperlink r:id="rId9" w:history="1">
              <w:r w:rsidR="00B75F68" w:rsidRPr="00C04189">
                <w:rPr>
                  <w:rStyle w:val="Hyperlink"/>
                </w:rPr>
                <w:t>https://www.artforum.com/print/201802/cassils-73661</w:t>
              </w:r>
            </w:hyperlink>
            <w:r>
              <w:t xml:space="preserve">. </w:t>
            </w:r>
          </w:p>
          <w:p w14:paraId="2ECF70AB" w14:textId="67222BAE" w:rsidR="00A26F4F" w:rsidRDefault="00A26F4F" w:rsidP="009B41AB"/>
          <w:p w14:paraId="24F2B111" w14:textId="4800B205" w:rsidR="009B41AB" w:rsidRPr="001B06F4" w:rsidRDefault="009B41AB" w:rsidP="009B41AB">
            <w:pPr>
              <w:rPr>
                <w:b/>
              </w:rPr>
            </w:pPr>
            <w:r w:rsidRPr="001B06F4">
              <w:rPr>
                <w:b/>
              </w:rPr>
              <w:t>Art History research paper</w:t>
            </w:r>
            <w:r w:rsidR="005819CE" w:rsidRPr="001B06F4">
              <w:rPr>
                <w:b/>
              </w:rPr>
              <w:t xml:space="preserve"> and reading journal</w:t>
            </w:r>
            <w:r w:rsidRPr="001B06F4">
              <w:rPr>
                <w:b/>
              </w:rPr>
              <w:t xml:space="preserve"> due Friday June 7</w:t>
            </w:r>
            <w:r w:rsidRPr="001B06F4">
              <w:rPr>
                <w:b/>
                <w:vertAlign w:val="superscript"/>
              </w:rPr>
              <w:t>th</w:t>
            </w:r>
            <w:r w:rsidRPr="001B06F4">
              <w:rPr>
                <w:b/>
              </w:rPr>
              <w:t xml:space="preserve"> at 8pm via Canvas</w:t>
            </w:r>
          </w:p>
          <w:p w14:paraId="58D8B242" w14:textId="5363981D" w:rsidR="009B41AB" w:rsidRPr="00FE14DD" w:rsidRDefault="009B41AB" w:rsidP="009B41AB"/>
        </w:tc>
      </w:tr>
    </w:tbl>
    <w:p w14:paraId="0B952A3A" w14:textId="02B1D385" w:rsidR="009605C7" w:rsidRDefault="00364E1A"/>
    <w:p w14:paraId="7B0C3861" w14:textId="6BD68F22" w:rsidR="005A27A1" w:rsidRPr="00C36146" w:rsidRDefault="003E54E0" w:rsidP="000B6D3C">
      <w:pPr>
        <w:pStyle w:val="Heading1"/>
        <w:rPr>
          <w:rFonts w:ascii="Times New Roman" w:hAnsi="Times New Roman"/>
          <w:szCs w:val="22"/>
        </w:rPr>
      </w:pPr>
      <w:r w:rsidRPr="00C36146">
        <w:rPr>
          <w:rFonts w:ascii="Times New Roman" w:hAnsi="Times New Roman"/>
          <w:szCs w:val="22"/>
        </w:rPr>
        <w:t>Participation policy</w:t>
      </w:r>
    </w:p>
    <w:p w14:paraId="78C7B165" w14:textId="4DE5D830" w:rsidR="00635B1E" w:rsidRPr="00C36146" w:rsidRDefault="003E54E0">
      <w:r w:rsidRPr="00C36146">
        <w:t xml:space="preserve">Excellent participation consists in doing the readings, being present for all class sessions and contributing </w:t>
      </w:r>
      <w:r w:rsidR="00ED5429" w:rsidRPr="00C36146">
        <w:t xml:space="preserve">thoughtfully </w:t>
      </w:r>
      <w:r w:rsidRPr="00C36146">
        <w:t xml:space="preserve">to discussion every session. Class sessions missed without medical or mental health documentation will result in a steep decrease in the participation grade. </w:t>
      </w:r>
    </w:p>
    <w:p w14:paraId="72DEF674" w14:textId="6EA1B0FB" w:rsidR="00635B1E" w:rsidRDefault="00635B1E"/>
    <w:p w14:paraId="09207E34" w14:textId="77777777" w:rsidR="00635B1E" w:rsidRPr="0020426C" w:rsidRDefault="00635B1E" w:rsidP="00635B1E">
      <w:pPr>
        <w:pStyle w:val="Heading1"/>
        <w:rPr>
          <w:rFonts w:ascii="Times New Roman" w:hAnsi="Times New Roman"/>
        </w:rPr>
      </w:pPr>
      <w:r w:rsidRPr="0020426C">
        <w:rPr>
          <w:rFonts w:ascii="Times New Roman" w:hAnsi="Times New Roman"/>
        </w:rPr>
        <w:t>Grading policy</w:t>
      </w:r>
    </w:p>
    <w:p w14:paraId="3CD61198" w14:textId="2EEBF6E8" w:rsidR="00635B1E" w:rsidRPr="0020426C" w:rsidRDefault="00635B1E" w:rsidP="00635B1E">
      <w:r w:rsidRPr="0020426C">
        <w:rPr>
          <w:u w:val="single"/>
        </w:rPr>
        <w:t>Lateness:</w:t>
      </w:r>
      <w:r w:rsidRPr="0020426C">
        <w:t xml:space="preserve"> </w:t>
      </w:r>
      <w:r>
        <w:t>I</w:t>
      </w:r>
      <w:r w:rsidRPr="0020426C">
        <w:t xml:space="preserve"> will deduct 5% for every day, including weekends, that a written</w:t>
      </w:r>
      <w:r w:rsidR="003C6091">
        <w:t xml:space="preserve"> </w:t>
      </w:r>
      <w:r w:rsidRPr="0020426C">
        <w:t xml:space="preserve">assignment is late. </w:t>
      </w:r>
    </w:p>
    <w:p w14:paraId="3B51C334" w14:textId="77777777" w:rsidR="00635B1E" w:rsidRPr="0020426C" w:rsidRDefault="00635B1E" w:rsidP="00635B1E">
      <w:r w:rsidRPr="0020426C">
        <w:rPr>
          <w:u w:val="single"/>
        </w:rPr>
        <w:t>Plagiarism:</w:t>
      </w:r>
      <w:r w:rsidRPr="0020426C">
        <w:t xml:space="preserve"> Plagiarism and cheating carry a heavy grade penalty decided at my discretion, which can range from receiving a 0 on the assignment in question to failing the course. If you are tempted to cheat, I recommend that you consider a visit to the University’s Counseling Center to get support concerning stress and emotional coping.</w:t>
      </w:r>
    </w:p>
    <w:p w14:paraId="4ABA68EC" w14:textId="77777777" w:rsidR="00635B1E" w:rsidRPr="0020426C" w:rsidRDefault="00635B1E" w:rsidP="00635B1E"/>
    <w:p w14:paraId="6C580710" w14:textId="77777777" w:rsidR="00635B1E" w:rsidRPr="0020426C" w:rsidRDefault="00635B1E" w:rsidP="00635B1E">
      <w:pPr>
        <w:pStyle w:val="Heading1"/>
        <w:rPr>
          <w:rFonts w:ascii="Times New Roman" w:hAnsi="Times New Roman"/>
        </w:rPr>
      </w:pPr>
      <w:r w:rsidRPr="0020426C">
        <w:rPr>
          <w:rFonts w:ascii="Times New Roman" w:hAnsi="Times New Roman"/>
        </w:rPr>
        <w:t>Technology policy</w:t>
      </w:r>
    </w:p>
    <w:p w14:paraId="078E257E" w14:textId="272AF55B" w:rsidR="00635B1E" w:rsidRPr="0020426C" w:rsidRDefault="000A0FC0" w:rsidP="00635B1E">
      <w:r>
        <w:t xml:space="preserve">Laptops are of course permitted, but thanks for </w:t>
      </w:r>
      <w:r w:rsidR="00CD655F">
        <w:t xml:space="preserve">avoiding extracurricular internet use, and for putting away your phones. </w:t>
      </w:r>
    </w:p>
    <w:p w14:paraId="73410F8A" w14:textId="77777777" w:rsidR="00635B1E" w:rsidRPr="0020426C" w:rsidRDefault="00635B1E" w:rsidP="00635B1E"/>
    <w:p w14:paraId="21FE06E3" w14:textId="77777777" w:rsidR="00635B1E" w:rsidRPr="0020426C" w:rsidRDefault="00635B1E" w:rsidP="00635B1E">
      <w:pPr>
        <w:pStyle w:val="Heading1"/>
        <w:rPr>
          <w:rFonts w:ascii="Times New Roman" w:hAnsi="Times New Roman"/>
        </w:rPr>
      </w:pPr>
      <w:r w:rsidRPr="0020426C">
        <w:rPr>
          <w:rFonts w:ascii="Times New Roman" w:hAnsi="Times New Roman"/>
        </w:rPr>
        <w:t>Accommodation</w:t>
      </w:r>
    </w:p>
    <w:p w14:paraId="295AFFB8" w14:textId="77777777" w:rsidR="00635B1E" w:rsidRPr="0020426C" w:rsidRDefault="00635B1E" w:rsidP="00635B1E">
      <w:r w:rsidRPr="0020426C">
        <w:t>I look forward to working with students who may need learning accommodations (for the</w:t>
      </w:r>
    </w:p>
    <w:p w14:paraId="68C6C70F" w14:textId="0353E17E" w:rsidR="00635B1E" w:rsidRPr="0020426C" w:rsidRDefault="00635B1E" w:rsidP="00635B1E">
      <w:r w:rsidRPr="0020426C">
        <w:t xml:space="preserve">official School of Art policy, see </w:t>
      </w:r>
      <w:r w:rsidR="007D09D8">
        <w:t>supplementary</w:t>
      </w:r>
      <w:r w:rsidR="00D11473">
        <w:t xml:space="preserve"> document</w:t>
      </w:r>
      <w:r w:rsidRPr="0020426C">
        <w:t>). If you are registered with Disabled Student</w:t>
      </w:r>
      <w:r w:rsidR="008A0093">
        <w:t xml:space="preserve"> </w:t>
      </w:r>
      <w:r w:rsidRPr="0020426C">
        <w:t>Services, please make sure I</w:t>
      </w:r>
      <w:r>
        <w:t xml:space="preserve"> </w:t>
      </w:r>
      <w:r w:rsidRPr="0020426C">
        <w:t>receive it within one week of the start of class.</w:t>
      </w:r>
    </w:p>
    <w:p w14:paraId="2CCF6663" w14:textId="77777777" w:rsidR="00635B1E" w:rsidRPr="0020426C" w:rsidRDefault="00635B1E" w:rsidP="00635B1E"/>
    <w:p w14:paraId="2B97B8EF" w14:textId="77777777" w:rsidR="00635B1E" w:rsidRPr="0020426C" w:rsidRDefault="00635B1E" w:rsidP="00635B1E">
      <w:pPr>
        <w:pStyle w:val="Heading1"/>
        <w:rPr>
          <w:rFonts w:ascii="Times New Roman" w:hAnsi="Times New Roman"/>
        </w:rPr>
      </w:pPr>
      <w:r w:rsidRPr="0020426C">
        <w:rPr>
          <w:rFonts w:ascii="Times New Roman" w:hAnsi="Times New Roman"/>
        </w:rPr>
        <w:t>Anti-discrimination</w:t>
      </w:r>
    </w:p>
    <w:p w14:paraId="769E81E9" w14:textId="77777777" w:rsidR="00635B1E" w:rsidRPr="0020426C" w:rsidRDefault="00635B1E" w:rsidP="00635B1E">
      <w:r w:rsidRPr="0020426C">
        <w:t xml:space="preserve">As your instructor I am committed to making our classroom a space without discrimination, where each one of you feels comfortable expressing yourself, and equally, is willing to listen to your peers express themselves. If discrimination does arise, I invite you to discuss it with me and we can make a plan for how to rectify it. Being committed to anti-discrimination doesn’t mean that you need to be nervous about saying the “wrong” thing. Rather, it’s a commitment to </w:t>
      </w:r>
      <w:r w:rsidRPr="0020426C">
        <w:lastRenderedPageBreak/>
        <w:t>process, in which all of us agree to remain generous and self-reflexive, and to help each other out in the collective work of establishing a positive group dynamic. See below for the School of Art’s official Equal Opportunity policy.</w:t>
      </w:r>
    </w:p>
    <w:p w14:paraId="39EAC6B9" w14:textId="77777777" w:rsidR="00635B1E" w:rsidRPr="0020426C" w:rsidRDefault="00635B1E" w:rsidP="00635B1E"/>
    <w:p w14:paraId="5A2B3B74" w14:textId="77777777" w:rsidR="00C87C7F" w:rsidRDefault="00C87C7F" w:rsidP="00C87C7F"/>
    <w:p w14:paraId="4794C97A" w14:textId="77777777" w:rsidR="00C87C7F" w:rsidRDefault="00C87C7F" w:rsidP="00C87C7F"/>
    <w:p w14:paraId="51640E57" w14:textId="77777777" w:rsidR="00C87C7F" w:rsidRDefault="00C87C7F"/>
    <w:sectPr w:rsidR="00C87C7F" w:rsidSect="000D7501">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C91DC" w14:textId="77777777" w:rsidR="00364E1A" w:rsidRDefault="00364E1A" w:rsidP="000A0FC0">
      <w:r>
        <w:separator/>
      </w:r>
    </w:p>
  </w:endnote>
  <w:endnote w:type="continuationSeparator" w:id="0">
    <w:p w14:paraId="4AE286C6" w14:textId="77777777" w:rsidR="00364E1A" w:rsidRDefault="00364E1A" w:rsidP="000A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0910176"/>
      <w:docPartObj>
        <w:docPartGallery w:val="Page Numbers (Bottom of Page)"/>
        <w:docPartUnique/>
      </w:docPartObj>
    </w:sdtPr>
    <w:sdtEndPr>
      <w:rPr>
        <w:rStyle w:val="PageNumber"/>
      </w:rPr>
    </w:sdtEndPr>
    <w:sdtContent>
      <w:p w14:paraId="46CDB714" w14:textId="4C578E15" w:rsidR="000A0FC0" w:rsidRDefault="000A0FC0" w:rsidP="00D1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9D2629" w14:textId="77777777" w:rsidR="000A0FC0" w:rsidRDefault="000A0FC0" w:rsidP="000A0F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9413657"/>
      <w:docPartObj>
        <w:docPartGallery w:val="Page Numbers (Bottom of Page)"/>
        <w:docPartUnique/>
      </w:docPartObj>
    </w:sdtPr>
    <w:sdtEndPr>
      <w:rPr>
        <w:rStyle w:val="PageNumber"/>
      </w:rPr>
    </w:sdtEndPr>
    <w:sdtContent>
      <w:p w14:paraId="24308B36" w14:textId="0D364B6F" w:rsidR="000A0FC0" w:rsidRDefault="000A0FC0" w:rsidP="00D1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EB36B84" w14:textId="77777777" w:rsidR="000A0FC0" w:rsidRDefault="000A0FC0" w:rsidP="000A0F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BB469" w14:textId="77777777" w:rsidR="00364E1A" w:rsidRDefault="00364E1A" w:rsidP="000A0FC0">
      <w:r>
        <w:separator/>
      </w:r>
    </w:p>
  </w:footnote>
  <w:footnote w:type="continuationSeparator" w:id="0">
    <w:p w14:paraId="602FBEA2" w14:textId="77777777" w:rsidR="00364E1A" w:rsidRDefault="00364E1A" w:rsidP="000A0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1287"/>
    <w:multiLevelType w:val="hybridMultilevel"/>
    <w:tmpl w:val="A4FE3C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CD6AE6"/>
    <w:multiLevelType w:val="hybridMultilevel"/>
    <w:tmpl w:val="9954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4C0C"/>
    <w:multiLevelType w:val="hybridMultilevel"/>
    <w:tmpl w:val="4628D9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0337554"/>
    <w:multiLevelType w:val="hybridMultilevel"/>
    <w:tmpl w:val="19B6DF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8775DE0"/>
    <w:multiLevelType w:val="hybridMultilevel"/>
    <w:tmpl w:val="7FA8DA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B166EF6"/>
    <w:multiLevelType w:val="hybridMultilevel"/>
    <w:tmpl w:val="39CA53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6A4162"/>
    <w:multiLevelType w:val="hybridMultilevel"/>
    <w:tmpl w:val="D6E484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C921220"/>
    <w:multiLevelType w:val="hybridMultilevel"/>
    <w:tmpl w:val="1FC2D1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33B01A4"/>
    <w:multiLevelType w:val="hybridMultilevel"/>
    <w:tmpl w:val="BF5252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42D30D3"/>
    <w:multiLevelType w:val="hybridMultilevel"/>
    <w:tmpl w:val="E848A7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7"/>
  </w:num>
  <w:num w:numId="3">
    <w:abstractNumId w:val="5"/>
  </w:num>
  <w:num w:numId="4">
    <w:abstractNumId w:val="6"/>
  </w:num>
  <w:num w:numId="5">
    <w:abstractNumId w:val="9"/>
  </w:num>
  <w:num w:numId="6">
    <w:abstractNumId w:val="3"/>
  </w:num>
  <w:num w:numId="7">
    <w:abstractNumId w:val="0"/>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F84"/>
    <w:rsid w:val="00000ACA"/>
    <w:rsid w:val="00034A33"/>
    <w:rsid w:val="00070697"/>
    <w:rsid w:val="00070988"/>
    <w:rsid w:val="0008666D"/>
    <w:rsid w:val="000A0FC0"/>
    <w:rsid w:val="000B6D3C"/>
    <w:rsid w:val="000C5EE3"/>
    <w:rsid w:val="000D47D0"/>
    <w:rsid w:val="000D7501"/>
    <w:rsid w:val="000F68D3"/>
    <w:rsid w:val="00104781"/>
    <w:rsid w:val="001051E1"/>
    <w:rsid w:val="001330EB"/>
    <w:rsid w:val="00164998"/>
    <w:rsid w:val="00181115"/>
    <w:rsid w:val="001A4360"/>
    <w:rsid w:val="001B06F4"/>
    <w:rsid w:val="00201747"/>
    <w:rsid w:val="00247F84"/>
    <w:rsid w:val="00255532"/>
    <w:rsid w:val="0026413C"/>
    <w:rsid w:val="00276A0B"/>
    <w:rsid w:val="002C2672"/>
    <w:rsid w:val="002C3E3B"/>
    <w:rsid w:val="002E6E92"/>
    <w:rsid w:val="003126C1"/>
    <w:rsid w:val="0035062C"/>
    <w:rsid w:val="00364E1A"/>
    <w:rsid w:val="0038281B"/>
    <w:rsid w:val="003978B6"/>
    <w:rsid w:val="003B274E"/>
    <w:rsid w:val="003C4E5F"/>
    <w:rsid w:val="003C6091"/>
    <w:rsid w:val="003D02BD"/>
    <w:rsid w:val="003E5363"/>
    <w:rsid w:val="003E54E0"/>
    <w:rsid w:val="0043679B"/>
    <w:rsid w:val="0047519B"/>
    <w:rsid w:val="004813F7"/>
    <w:rsid w:val="0048482D"/>
    <w:rsid w:val="004A2510"/>
    <w:rsid w:val="004E3602"/>
    <w:rsid w:val="004E77E8"/>
    <w:rsid w:val="004F0089"/>
    <w:rsid w:val="00516639"/>
    <w:rsid w:val="0053033B"/>
    <w:rsid w:val="00540519"/>
    <w:rsid w:val="00572845"/>
    <w:rsid w:val="005819CE"/>
    <w:rsid w:val="005A27A1"/>
    <w:rsid w:val="005D0A2D"/>
    <w:rsid w:val="00613B9F"/>
    <w:rsid w:val="00635B1E"/>
    <w:rsid w:val="006456A6"/>
    <w:rsid w:val="0064593A"/>
    <w:rsid w:val="0065248C"/>
    <w:rsid w:val="00655F0F"/>
    <w:rsid w:val="00687C24"/>
    <w:rsid w:val="006970A4"/>
    <w:rsid w:val="006B3C03"/>
    <w:rsid w:val="006B6FC7"/>
    <w:rsid w:val="00750769"/>
    <w:rsid w:val="007737F1"/>
    <w:rsid w:val="00776DEE"/>
    <w:rsid w:val="00795CF3"/>
    <w:rsid w:val="007D09D8"/>
    <w:rsid w:val="007D3AD5"/>
    <w:rsid w:val="007E1320"/>
    <w:rsid w:val="0080247A"/>
    <w:rsid w:val="00807C2B"/>
    <w:rsid w:val="00817144"/>
    <w:rsid w:val="00824631"/>
    <w:rsid w:val="00825A30"/>
    <w:rsid w:val="00826645"/>
    <w:rsid w:val="008312C9"/>
    <w:rsid w:val="008A0093"/>
    <w:rsid w:val="008E0CF9"/>
    <w:rsid w:val="0091651F"/>
    <w:rsid w:val="009B34D3"/>
    <w:rsid w:val="009B41AB"/>
    <w:rsid w:val="009C31F1"/>
    <w:rsid w:val="009C3FB4"/>
    <w:rsid w:val="009E58D8"/>
    <w:rsid w:val="00A10399"/>
    <w:rsid w:val="00A26F4F"/>
    <w:rsid w:val="00A43205"/>
    <w:rsid w:val="00A91823"/>
    <w:rsid w:val="00A948FB"/>
    <w:rsid w:val="00AA0970"/>
    <w:rsid w:val="00AC4EEC"/>
    <w:rsid w:val="00AC7FE7"/>
    <w:rsid w:val="00AD433E"/>
    <w:rsid w:val="00AF2C45"/>
    <w:rsid w:val="00B239F7"/>
    <w:rsid w:val="00B36730"/>
    <w:rsid w:val="00B67F3C"/>
    <w:rsid w:val="00B75CCA"/>
    <w:rsid w:val="00B75F68"/>
    <w:rsid w:val="00B9210C"/>
    <w:rsid w:val="00B938DF"/>
    <w:rsid w:val="00BD7F84"/>
    <w:rsid w:val="00C1687D"/>
    <w:rsid w:val="00C36146"/>
    <w:rsid w:val="00C510E2"/>
    <w:rsid w:val="00C70957"/>
    <w:rsid w:val="00C87C7F"/>
    <w:rsid w:val="00CB6EAB"/>
    <w:rsid w:val="00CD655F"/>
    <w:rsid w:val="00CF3009"/>
    <w:rsid w:val="00D11473"/>
    <w:rsid w:val="00D405A9"/>
    <w:rsid w:val="00D5130A"/>
    <w:rsid w:val="00D60F43"/>
    <w:rsid w:val="00DA6F6A"/>
    <w:rsid w:val="00E03AE8"/>
    <w:rsid w:val="00E26F79"/>
    <w:rsid w:val="00E64B60"/>
    <w:rsid w:val="00E70A1A"/>
    <w:rsid w:val="00E965D5"/>
    <w:rsid w:val="00EA38F1"/>
    <w:rsid w:val="00EC5DFF"/>
    <w:rsid w:val="00EC7867"/>
    <w:rsid w:val="00ED0385"/>
    <w:rsid w:val="00ED5429"/>
    <w:rsid w:val="00EE4B9C"/>
    <w:rsid w:val="00EE5CA6"/>
    <w:rsid w:val="00F04B16"/>
    <w:rsid w:val="00F463F3"/>
    <w:rsid w:val="00F54CD6"/>
    <w:rsid w:val="00F83589"/>
    <w:rsid w:val="00FC488D"/>
    <w:rsid w:val="00FD4788"/>
    <w:rsid w:val="00FE1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32013"/>
  <w15:chartTrackingRefBased/>
  <w15:docId w15:val="{2FF61726-6B1C-FA42-87EA-C7D00C707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03AE8"/>
    <w:rPr>
      <w:rFonts w:eastAsia="Times New Roman"/>
    </w:rPr>
  </w:style>
  <w:style w:type="paragraph" w:styleId="Heading1">
    <w:name w:val="heading 1"/>
    <w:basedOn w:val="Normal"/>
    <w:next w:val="Normal"/>
    <w:link w:val="Heading1Char"/>
    <w:qFormat/>
    <w:rsid w:val="00635B1E"/>
    <w:pPr>
      <w:keepNext/>
      <w:jc w:val="both"/>
      <w:outlineLvl w:val="0"/>
    </w:pPr>
    <w:rPr>
      <w:rFonts w:ascii="Arial Narrow" w:hAnsi="Arial Narrow"/>
      <w:b/>
      <w:sz w:val="22"/>
      <w:szCs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1651F"/>
    <w:rPr>
      <w:color w:val="0563C1" w:themeColor="hyperlink"/>
      <w:u w:val="single"/>
    </w:rPr>
  </w:style>
  <w:style w:type="character" w:customStyle="1" w:styleId="Heading1Char">
    <w:name w:val="Heading 1 Char"/>
    <w:basedOn w:val="DefaultParagraphFont"/>
    <w:link w:val="Heading1"/>
    <w:rsid w:val="00635B1E"/>
    <w:rPr>
      <w:rFonts w:ascii="Arial Narrow" w:eastAsia="Times New Roman" w:hAnsi="Arial Narrow"/>
      <w:b/>
      <w:sz w:val="22"/>
      <w:szCs w:val="20"/>
      <w:u w:val="single"/>
    </w:rPr>
  </w:style>
  <w:style w:type="paragraph" w:styleId="Footer">
    <w:name w:val="footer"/>
    <w:basedOn w:val="Normal"/>
    <w:link w:val="FooterChar"/>
    <w:uiPriority w:val="99"/>
    <w:unhideWhenUsed/>
    <w:rsid w:val="000A0FC0"/>
    <w:pPr>
      <w:tabs>
        <w:tab w:val="center" w:pos="4680"/>
        <w:tab w:val="right" w:pos="9360"/>
      </w:tabs>
    </w:pPr>
  </w:style>
  <w:style w:type="character" w:customStyle="1" w:styleId="FooterChar">
    <w:name w:val="Footer Char"/>
    <w:basedOn w:val="DefaultParagraphFont"/>
    <w:link w:val="Footer"/>
    <w:uiPriority w:val="99"/>
    <w:rsid w:val="000A0FC0"/>
  </w:style>
  <w:style w:type="character" w:styleId="PageNumber">
    <w:name w:val="page number"/>
    <w:basedOn w:val="DefaultParagraphFont"/>
    <w:uiPriority w:val="99"/>
    <w:semiHidden/>
    <w:unhideWhenUsed/>
    <w:rsid w:val="000A0FC0"/>
  </w:style>
  <w:style w:type="paragraph" w:styleId="ListParagraph">
    <w:name w:val="List Paragraph"/>
    <w:basedOn w:val="Normal"/>
    <w:uiPriority w:val="34"/>
    <w:qFormat/>
    <w:rsid w:val="00E03AE8"/>
    <w:pPr>
      <w:ind w:left="720"/>
      <w:contextualSpacing/>
    </w:pPr>
  </w:style>
  <w:style w:type="character" w:styleId="UnresolvedMention">
    <w:name w:val="Unresolved Mention"/>
    <w:basedOn w:val="DefaultParagraphFont"/>
    <w:uiPriority w:val="99"/>
    <w:rsid w:val="00C168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520153">
      <w:bodyDiv w:val="1"/>
      <w:marLeft w:val="0"/>
      <w:marRight w:val="0"/>
      <w:marTop w:val="0"/>
      <w:marBottom w:val="0"/>
      <w:divBdr>
        <w:top w:val="none" w:sz="0" w:space="0" w:color="auto"/>
        <w:left w:val="none" w:sz="0" w:space="0" w:color="auto"/>
        <w:bottom w:val="none" w:sz="0" w:space="0" w:color="auto"/>
        <w:right w:val="none" w:sz="0" w:space="0" w:color="auto"/>
      </w:divBdr>
    </w:div>
    <w:div w:id="887035520">
      <w:bodyDiv w:val="1"/>
      <w:marLeft w:val="0"/>
      <w:marRight w:val="0"/>
      <w:marTop w:val="0"/>
      <w:marBottom w:val="0"/>
      <w:divBdr>
        <w:top w:val="none" w:sz="0" w:space="0" w:color="auto"/>
        <w:left w:val="none" w:sz="0" w:space="0" w:color="auto"/>
        <w:bottom w:val="none" w:sz="0" w:space="0" w:color="auto"/>
        <w:right w:val="none" w:sz="0" w:space="0" w:color="auto"/>
      </w:divBdr>
    </w:div>
    <w:div w:id="1006440172">
      <w:bodyDiv w:val="1"/>
      <w:marLeft w:val="0"/>
      <w:marRight w:val="0"/>
      <w:marTop w:val="0"/>
      <w:marBottom w:val="0"/>
      <w:divBdr>
        <w:top w:val="none" w:sz="0" w:space="0" w:color="auto"/>
        <w:left w:val="none" w:sz="0" w:space="0" w:color="auto"/>
        <w:bottom w:val="none" w:sz="0" w:space="0" w:color="auto"/>
        <w:right w:val="none" w:sz="0" w:space="0" w:color="auto"/>
      </w:divBdr>
    </w:div>
    <w:div w:id="1161047294">
      <w:bodyDiv w:val="1"/>
      <w:marLeft w:val="0"/>
      <w:marRight w:val="0"/>
      <w:marTop w:val="0"/>
      <w:marBottom w:val="0"/>
      <w:divBdr>
        <w:top w:val="none" w:sz="0" w:space="0" w:color="auto"/>
        <w:left w:val="none" w:sz="0" w:space="0" w:color="auto"/>
        <w:bottom w:val="none" w:sz="0" w:space="0" w:color="auto"/>
        <w:right w:val="none" w:sz="0" w:space="0" w:color="auto"/>
      </w:divBdr>
    </w:div>
    <w:div w:id="1273631869">
      <w:bodyDiv w:val="1"/>
      <w:marLeft w:val="0"/>
      <w:marRight w:val="0"/>
      <w:marTop w:val="0"/>
      <w:marBottom w:val="0"/>
      <w:divBdr>
        <w:top w:val="none" w:sz="0" w:space="0" w:color="auto"/>
        <w:left w:val="none" w:sz="0" w:space="0" w:color="auto"/>
        <w:bottom w:val="none" w:sz="0" w:space="0" w:color="auto"/>
        <w:right w:val="none" w:sz="0" w:space="0" w:color="auto"/>
      </w:divBdr>
      <w:divsChild>
        <w:div w:id="1882280728">
          <w:marLeft w:val="0"/>
          <w:marRight w:val="0"/>
          <w:marTop w:val="0"/>
          <w:marBottom w:val="0"/>
          <w:divBdr>
            <w:top w:val="none" w:sz="0" w:space="0" w:color="auto"/>
            <w:left w:val="none" w:sz="0" w:space="0" w:color="auto"/>
            <w:bottom w:val="none" w:sz="0" w:space="0" w:color="auto"/>
            <w:right w:val="none" w:sz="0" w:space="0" w:color="auto"/>
          </w:divBdr>
        </w:div>
        <w:div w:id="1614946352">
          <w:marLeft w:val="0"/>
          <w:marRight w:val="0"/>
          <w:marTop w:val="0"/>
          <w:marBottom w:val="0"/>
          <w:divBdr>
            <w:top w:val="none" w:sz="0" w:space="0" w:color="auto"/>
            <w:left w:val="none" w:sz="0" w:space="0" w:color="auto"/>
            <w:bottom w:val="none" w:sz="0" w:space="0" w:color="auto"/>
            <w:right w:val="none" w:sz="0" w:space="0" w:color="auto"/>
          </w:divBdr>
        </w:div>
        <w:div w:id="1921670867">
          <w:marLeft w:val="0"/>
          <w:marRight w:val="0"/>
          <w:marTop w:val="0"/>
          <w:marBottom w:val="0"/>
          <w:divBdr>
            <w:top w:val="none" w:sz="0" w:space="0" w:color="auto"/>
            <w:left w:val="none" w:sz="0" w:space="0" w:color="auto"/>
            <w:bottom w:val="none" w:sz="0" w:space="0" w:color="auto"/>
            <w:right w:val="none" w:sz="0" w:space="0" w:color="auto"/>
          </w:divBdr>
        </w:div>
        <w:div w:id="1819684836">
          <w:marLeft w:val="0"/>
          <w:marRight w:val="0"/>
          <w:marTop w:val="0"/>
          <w:marBottom w:val="0"/>
          <w:divBdr>
            <w:top w:val="none" w:sz="0" w:space="0" w:color="auto"/>
            <w:left w:val="none" w:sz="0" w:space="0" w:color="auto"/>
            <w:bottom w:val="none" w:sz="0" w:space="0" w:color="auto"/>
            <w:right w:val="none" w:sz="0" w:space="0" w:color="auto"/>
          </w:divBdr>
        </w:div>
        <w:div w:id="1249000304">
          <w:marLeft w:val="0"/>
          <w:marRight w:val="0"/>
          <w:marTop w:val="0"/>
          <w:marBottom w:val="0"/>
          <w:divBdr>
            <w:top w:val="none" w:sz="0" w:space="0" w:color="auto"/>
            <w:left w:val="none" w:sz="0" w:space="0" w:color="auto"/>
            <w:bottom w:val="none" w:sz="0" w:space="0" w:color="auto"/>
            <w:right w:val="none" w:sz="0" w:space="0" w:color="auto"/>
          </w:divBdr>
        </w:div>
      </w:divsChild>
    </w:div>
    <w:div w:id="2013683005">
      <w:bodyDiv w:val="1"/>
      <w:marLeft w:val="0"/>
      <w:marRight w:val="0"/>
      <w:marTop w:val="0"/>
      <w:marBottom w:val="0"/>
      <w:divBdr>
        <w:top w:val="none" w:sz="0" w:space="0" w:color="auto"/>
        <w:left w:val="none" w:sz="0" w:space="0" w:color="auto"/>
        <w:bottom w:val="none" w:sz="0" w:space="0" w:color="auto"/>
        <w:right w:val="none" w:sz="0" w:space="0" w:color="auto"/>
      </w:divBdr>
    </w:div>
    <w:div w:id="206976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e.org.uk/research/publications/tate-papers/24/pop-art-and-the-socialist-thing-dusan-otasevic-in-the-1960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adair@uw.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rtforum.com/print/201802/cassils-73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2019-05-23T22:59:00Z</dcterms:created>
  <dcterms:modified xsi:type="dcterms:W3CDTF">2019-05-23T22:59:00Z</dcterms:modified>
</cp:coreProperties>
</file>