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50BB6" w14:textId="0F537EBF" w:rsidR="005722CD" w:rsidRDefault="005722CD" w:rsidP="005722CD">
      <w:pPr>
        <w:pStyle w:val="NormalWeb"/>
        <w:shd w:val="clear" w:color="auto" w:fill="FFFFFF"/>
        <w:spacing w:before="180" w:beforeAutospacing="0" w:after="0" w:afterAutospacing="0"/>
        <w:rPr>
          <w:rStyle w:val="Strong"/>
          <w:i/>
          <w:color w:val="2D3B45"/>
        </w:rPr>
      </w:pPr>
      <w:r>
        <w:rPr>
          <w:rStyle w:val="Strong"/>
          <w:color w:val="2D3B45"/>
        </w:rPr>
        <w:t xml:space="preserve">Reading Pointers for </w:t>
      </w:r>
      <w:r>
        <w:rPr>
          <w:rStyle w:val="Strong"/>
          <w:i/>
          <w:color w:val="2D3B45"/>
        </w:rPr>
        <w:t>The Convert:</w:t>
      </w:r>
    </w:p>
    <w:p w14:paraId="113212A6" w14:textId="13E24584" w:rsidR="002E1FB8" w:rsidRDefault="002E1FB8" w:rsidP="005722CD">
      <w:pPr>
        <w:pStyle w:val="NormalWeb"/>
        <w:shd w:val="clear" w:color="auto" w:fill="FFFFFF"/>
        <w:spacing w:before="180" w:beforeAutospacing="0" w:after="0" w:afterAutospacing="0"/>
        <w:rPr>
          <w:rStyle w:val="Strong"/>
          <w:b w:val="0"/>
          <w:bCs w:val="0"/>
          <w:iCs/>
          <w:color w:val="2D3B45"/>
        </w:rPr>
      </w:pPr>
      <w:r>
        <w:rPr>
          <w:rStyle w:val="Strong"/>
          <w:b w:val="0"/>
          <w:bCs w:val="0"/>
          <w:iCs/>
          <w:color w:val="2D3B45"/>
        </w:rPr>
        <w:t xml:space="preserve">Watch these video clips that feature Danai Gurira, explaining her general motivation as a playwright </w:t>
      </w:r>
      <w:proofErr w:type="gramStart"/>
      <w:r>
        <w:rPr>
          <w:rStyle w:val="Strong"/>
          <w:b w:val="0"/>
          <w:bCs w:val="0"/>
          <w:iCs/>
          <w:color w:val="2D3B45"/>
        </w:rPr>
        <w:t>and also</w:t>
      </w:r>
      <w:proofErr w:type="gramEnd"/>
      <w:r>
        <w:rPr>
          <w:rStyle w:val="Strong"/>
          <w:b w:val="0"/>
          <w:bCs w:val="0"/>
          <w:iCs/>
          <w:color w:val="2D3B45"/>
        </w:rPr>
        <w:t>, the personal/family backstory for this play.</w:t>
      </w:r>
      <w:r w:rsidR="006A0D73">
        <w:rPr>
          <w:rStyle w:val="Strong"/>
          <w:b w:val="0"/>
          <w:bCs w:val="0"/>
          <w:iCs/>
          <w:color w:val="2D3B45"/>
        </w:rPr>
        <w:t xml:space="preserve"> Useful info for you:</w:t>
      </w:r>
      <w:r>
        <w:rPr>
          <w:rStyle w:val="Strong"/>
          <w:b w:val="0"/>
          <w:bCs w:val="0"/>
          <w:iCs/>
          <w:color w:val="2D3B45"/>
        </w:rPr>
        <w:t xml:space="preserve"> Gurira self-identifies as a Christian. </w:t>
      </w:r>
      <w:r w:rsidR="006A0D73">
        <w:rPr>
          <w:rStyle w:val="Strong"/>
          <w:b w:val="0"/>
          <w:bCs w:val="0"/>
          <w:iCs/>
          <w:color w:val="2D3B45"/>
        </w:rPr>
        <w:t>And h</w:t>
      </w:r>
      <w:r>
        <w:rPr>
          <w:rStyle w:val="Strong"/>
          <w:b w:val="0"/>
          <w:bCs w:val="0"/>
          <w:iCs/>
          <w:color w:val="2D3B45"/>
        </w:rPr>
        <w:t xml:space="preserve">er </w:t>
      </w:r>
      <w:r w:rsidR="006A0D73">
        <w:rPr>
          <w:rStyle w:val="Strong"/>
          <w:b w:val="0"/>
          <w:bCs w:val="0"/>
          <w:iCs/>
          <w:color w:val="2D3B45"/>
        </w:rPr>
        <w:t xml:space="preserve">own </w:t>
      </w:r>
      <w:r>
        <w:rPr>
          <w:rStyle w:val="Strong"/>
          <w:b w:val="0"/>
          <w:bCs w:val="0"/>
          <w:iCs/>
          <w:color w:val="2D3B45"/>
        </w:rPr>
        <w:t xml:space="preserve">middle name is </w:t>
      </w:r>
      <w:proofErr w:type="spellStart"/>
      <w:r>
        <w:rPr>
          <w:rStyle w:val="Strong"/>
          <w:b w:val="0"/>
          <w:bCs w:val="0"/>
          <w:iCs/>
          <w:color w:val="2D3B45"/>
        </w:rPr>
        <w:t>Jekesai</w:t>
      </w:r>
      <w:proofErr w:type="spellEnd"/>
      <w:r>
        <w:rPr>
          <w:rStyle w:val="Strong"/>
          <w:b w:val="0"/>
          <w:bCs w:val="0"/>
          <w:iCs/>
          <w:color w:val="2D3B45"/>
        </w:rPr>
        <w:t xml:space="preserve">. </w:t>
      </w:r>
      <w:r w:rsidR="006A0D73">
        <w:rPr>
          <w:rStyle w:val="Strong"/>
          <w:b w:val="0"/>
          <w:bCs w:val="0"/>
          <w:iCs/>
          <w:color w:val="2D3B45"/>
        </w:rPr>
        <w:t xml:space="preserve">As one clip indicates, </w:t>
      </w:r>
      <w:r>
        <w:rPr>
          <w:rStyle w:val="Strong"/>
          <w:b w:val="0"/>
          <w:bCs w:val="0"/>
          <w:iCs/>
          <w:color w:val="2D3B45"/>
        </w:rPr>
        <w:t>Gurira</w:t>
      </w:r>
      <w:r w:rsidR="006A0D73">
        <w:rPr>
          <w:rStyle w:val="Strong"/>
          <w:b w:val="0"/>
          <w:bCs w:val="0"/>
          <w:iCs/>
          <w:color w:val="2D3B45"/>
        </w:rPr>
        <w:t xml:space="preserve"> regards </w:t>
      </w:r>
      <w:r>
        <w:rPr>
          <w:rStyle w:val="Strong"/>
          <w:b w:val="0"/>
          <w:bCs w:val="0"/>
          <w:iCs/>
          <w:color w:val="2D3B45"/>
        </w:rPr>
        <w:t xml:space="preserve">the play as </w:t>
      </w:r>
      <w:r w:rsidR="006A0D73">
        <w:rPr>
          <w:rStyle w:val="Strong"/>
          <w:b w:val="0"/>
          <w:bCs w:val="0"/>
          <w:iCs/>
          <w:color w:val="2D3B45"/>
        </w:rPr>
        <w:t xml:space="preserve">advocating for, and </w:t>
      </w:r>
      <w:r>
        <w:rPr>
          <w:rStyle w:val="Strong"/>
          <w:b w:val="0"/>
          <w:bCs w:val="0"/>
          <w:iCs/>
          <w:color w:val="2D3B45"/>
        </w:rPr>
        <w:t>concluding with</w:t>
      </w:r>
      <w:r w:rsidR="006A0D73">
        <w:rPr>
          <w:rStyle w:val="Strong"/>
          <w:b w:val="0"/>
          <w:bCs w:val="0"/>
          <w:iCs/>
          <w:color w:val="2D3B45"/>
        </w:rPr>
        <w:t>,</w:t>
      </w:r>
      <w:r>
        <w:rPr>
          <w:rStyle w:val="Strong"/>
          <w:b w:val="0"/>
          <w:bCs w:val="0"/>
          <w:iCs/>
          <w:color w:val="2D3B45"/>
        </w:rPr>
        <w:t xml:space="preserve"> an African Christianity that </w:t>
      </w:r>
      <w:r w:rsidR="006A0D73">
        <w:rPr>
          <w:rStyle w:val="Strong"/>
          <w:b w:val="0"/>
          <w:bCs w:val="0"/>
          <w:iCs/>
          <w:color w:val="2D3B45"/>
        </w:rPr>
        <w:t xml:space="preserve">is distinct from </w:t>
      </w:r>
      <w:r>
        <w:rPr>
          <w:rStyle w:val="Strong"/>
          <w:b w:val="0"/>
          <w:bCs w:val="0"/>
          <w:iCs/>
          <w:color w:val="2D3B45"/>
        </w:rPr>
        <w:t>Western Christianity.</w:t>
      </w:r>
    </w:p>
    <w:p w14:paraId="2EBEE3D8" w14:textId="3746DC4E" w:rsidR="002E1FB8" w:rsidRDefault="002E1FB8" w:rsidP="005722CD">
      <w:pPr>
        <w:pStyle w:val="NormalWeb"/>
        <w:shd w:val="clear" w:color="auto" w:fill="FFFFFF"/>
        <w:spacing w:before="180" w:beforeAutospacing="0" w:after="0" w:afterAutospacing="0"/>
        <w:rPr>
          <w:rStyle w:val="Strong"/>
          <w:b w:val="0"/>
          <w:bCs w:val="0"/>
          <w:iCs/>
          <w:color w:val="2D3B45"/>
        </w:rPr>
      </w:pPr>
      <w:r>
        <w:rPr>
          <w:rStyle w:val="Strong"/>
          <w:b w:val="0"/>
          <w:bCs w:val="0"/>
          <w:iCs/>
          <w:color w:val="2D3B45"/>
        </w:rPr>
        <w:t>Clips:</w:t>
      </w:r>
    </w:p>
    <w:p w14:paraId="1D52A796" w14:textId="77777777" w:rsidR="002E1FB8" w:rsidRDefault="002E1FB8" w:rsidP="002E1FB8">
      <w:pPr>
        <w:shd w:val="clear" w:color="auto" w:fill="FFFFFF"/>
        <w:spacing w:after="0" w:line="240" w:lineRule="auto"/>
        <w:rPr>
          <w:rStyle w:val="authors"/>
          <w:rFonts w:ascii="Open Sans" w:hAnsi="Open Sans"/>
          <w:color w:val="333333"/>
        </w:rPr>
      </w:pPr>
      <w:r>
        <w:rPr>
          <w:rStyle w:val="authors"/>
          <w:rFonts w:ascii="Open Sans" w:hAnsi="Open Sans"/>
          <w:color w:val="333333"/>
        </w:rPr>
        <w:t xml:space="preserve">Danai Gurira, singing the hymn that </w:t>
      </w:r>
      <w:proofErr w:type="spellStart"/>
      <w:r>
        <w:rPr>
          <w:rStyle w:val="authors"/>
          <w:rFonts w:ascii="Open Sans" w:hAnsi="Open Sans"/>
          <w:color w:val="333333"/>
        </w:rPr>
        <w:t>Jekesai</w:t>
      </w:r>
      <w:proofErr w:type="spellEnd"/>
      <w:r>
        <w:rPr>
          <w:rStyle w:val="authors"/>
          <w:rFonts w:ascii="Open Sans" w:hAnsi="Open Sans"/>
          <w:color w:val="333333"/>
        </w:rPr>
        <w:t xml:space="preserve"> sings at the conclusion of </w:t>
      </w:r>
      <w:r w:rsidRPr="002E1FB8">
        <w:rPr>
          <w:rStyle w:val="authors"/>
          <w:rFonts w:ascii="Open Sans" w:hAnsi="Open Sans"/>
          <w:i/>
          <w:iCs/>
          <w:color w:val="333333"/>
        </w:rPr>
        <w:t>The Convert</w:t>
      </w:r>
      <w:r>
        <w:rPr>
          <w:rStyle w:val="authors"/>
          <w:rFonts w:ascii="Open Sans" w:hAnsi="Open Sans"/>
          <w:color w:val="333333"/>
        </w:rPr>
        <w:t xml:space="preserve">: </w:t>
      </w:r>
    </w:p>
    <w:p w14:paraId="06F3F465" w14:textId="77777777" w:rsidR="002E1FB8" w:rsidRDefault="00791DA1" w:rsidP="002E1FB8">
      <w:pPr>
        <w:shd w:val="clear" w:color="auto" w:fill="FFFFFF"/>
        <w:spacing w:after="0" w:line="240" w:lineRule="auto"/>
        <w:rPr>
          <w:rStyle w:val="authors"/>
          <w:rFonts w:ascii="Open Sans" w:hAnsi="Open Sans"/>
          <w:color w:val="333333"/>
        </w:rPr>
      </w:pPr>
      <w:hyperlink r:id="rId5" w:history="1">
        <w:r w:rsidR="002E1FB8">
          <w:rPr>
            <w:rStyle w:val="Hyperlink"/>
          </w:rPr>
          <w:t>https://www.youtube.com/watch?v=bcM8skwmICE</w:t>
        </w:r>
      </w:hyperlink>
    </w:p>
    <w:p w14:paraId="57F3846E" w14:textId="77777777" w:rsidR="002E1FB8" w:rsidRDefault="002E1FB8" w:rsidP="002E1FB8">
      <w:pPr>
        <w:shd w:val="clear" w:color="auto" w:fill="FFFFFF"/>
        <w:spacing w:after="0" w:line="240" w:lineRule="auto"/>
        <w:rPr>
          <w:rStyle w:val="authors"/>
          <w:rFonts w:ascii="Open Sans" w:hAnsi="Open Sans"/>
          <w:color w:val="333333"/>
        </w:rPr>
      </w:pPr>
    </w:p>
    <w:p w14:paraId="342C6394" w14:textId="77777777" w:rsidR="002E1FB8" w:rsidRDefault="00791DA1" w:rsidP="002E1FB8">
      <w:pPr>
        <w:shd w:val="clear" w:color="auto" w:fill="FFFFFF"/>
        <w:spacing w:after="0" w:line="240" w:lineRule="auto"/>
      </w:pPr>
      <w:hyperlink r:id="rId6" w:history="1">
        <w:r w:rsidR="002E1FB8">
          <w:rPr>
            <w:rStyle w:val="Hyperlink"/>
          </w:rPr>
          <w:t>https://www.youtube.com/watch?v=Y3K9P9OKEzY</w:t>
        </w:r>
      </w:hyperlink>
    </w:p>
    <w:p w14:paraId="25F4E2A9" w14:textId="77777777" w:rsidR="002E1FB8" w:rsidRDefault="002E1FB8" w:rsidP="002E1FB8">
      <w:pPr>
        <w:shd w:val="clear" w:color="auto" w:fill="FFFFFF"/>
        <w:spacing w:after="0" w:line="240" w:lineRule="auto"/>
      </w:pPr>
    </w:p>
    <w:p w14:paraId="3EA82238" w14:textId="77777777" w:rsidR="002E1FB8" w:rsidRDefault="00791DA1" w:rsidP="002E1FB8">
      <w:pPr>
        <w:shd w:val="clear" w:color="auto" w:fill="FFFFFF"/>
        <w:spacing w:after="0" w:line="240" w:lineRule="auto"/>
      </w:pPr>
      <w:hyperlink r:id="rId7" w:history="1">
        <w:r w:rsidR="002E1FB8">
          <w:rPr>
            <w:rStyle w:val="Hyperlink"/>
          </w:rPr>
          <w:t>https://www.youtube.com/watch?v=1PUA9JXhgos&amp;t=459s</w:t>
        </w:r>
      </w:hyperlink>
    </w:p>
    <w:p w14:paraId="53359A5B" w14:textId="77777777" w:rsidR="002E1FB8" w:rsidRDefault="002E1FB8" w:rsidP="002E1FB8">
      <w:pPr>
        <w:shd w:val="clear" w:color="auto" w:fill="FFFFFF"/>
        <w:spacing w:after="0" w:line="240" w:lineRule="auto"/>
      </w:pPr>
    </w:p>
    <w:p w14:paraId="4A6F70FF" w14:textId="77777777" w:rsidR="002E1FB8" w:rsidRDefault="00791DA1" w:rsidP="002E1FB8">
      <w:pPr>
        <w:shd w:val="clear" w:color="auto" w:fill="FFFFFF"/>
        <w:spacing w:after="0" w:line="240" w:lineRule="auto"/>
      </w:pPr>
      <w:hyperlink r:id="rId8" w:history="1">
        <w:r w:rsidR="002E1FB8">
          <w:rPr>
            <w:rStyle w:val="Hyperlink"/>
          </w:rPr>
          <w:t>https://www.youtube.com/watch?v=rgR-R6S3qA4</w:t>
        </w:r>
      </w:hyperlink>
    </w:p>
    <w:p w14:paraId="304EBB9B" w14:textId="77777777" w:rsidR="002E1FB8" w:rsidRDefault="002E1FB8" w:rsidP="002E1FB8">
      <w:pPr>
        <w:shd w:val="clear" w:color="auto" w:fill="FFFFFF"/>
        <w:spacing w:after="0" w:line="240" w:lineRule="auto"/>
      </w:pPr>
    </w:p>
    <w:p w14:paraId="57800266" w14:textId="77777777" w:rsidR="002E1FB8" w:rsidRDefault="002E1FB8" w:rsidP="002E1FB8">
      <w:pPr>
        <w:shd w:val="clear" w:color="auto" w:fill="FFFFFF"/>
        <w:spacing w:after="0" w:line="240" w:lineRule="auto"/>
        <w:rPr>
          <w:rStyle w:val="authors"/>
          <w:rFonts w:ascii="Open Sans" w:hAnsi="Open Sans"/>
          <w:color w:val="333333"/>
        </w:rPr>
      </w:pPr>
    </w:p>
    <w:p w14:paraId="2144A1F8" w14:textId="7CBC7879" w:rsidR="005722CD" w:rsidRDefault="005722CD" w:rsidP="005722CD">
      <w:pPr>
        <w:pStyle w:val="NormalWeb"/>
        <w:shd w:val="clear" w:color="auto" w:fill="FFFFFF"/>
        <w:spacing w:before="180" w:beforeAutospacing="0" w:after="0" w:afterAutospacing="0"/>
        <w:rPr>
          <w:rStyle w:val="Strong"/>
          <w:b w:val="0"/>
          <w:bCs w:val="0"/>
          <w:iCs/>
          <w:color w:val="2D3B45"/>
        </w:rPr>
      </w:pPr>
      <w:r>
        <w:rPr>
          <w:rStyle w:val="Strong"/>
          <w:b w:val="0"/>
          <w:bCs w:val="0"/>
          <w:iCs/>
          <w:color w:val="2D3B45"/>
        </w:rPr>
        <w:t xml:space="preserve">As you read the play, be attentive to its structure. Notice its division into acts, and scenes, and consider what happens when; think about the arc of the work as a whole. Think about the staging: this includes noting the role of various props (furniture, </w:t>
      </w:r>
      <w:proofErr w:type="spellStart"/>
      <w:r>
        <w:rPr>
          <w:rStyle w:val="Strong"/>
          <w:b w:val="0"/>
          <w:bCs w:val="0"/>
          <w:iCs/>
          <w:color w:val="2D3B45"/>
        </w:rPr>
        <w:t>etc</w:t>
      </w:r>
      <w:proofErr w:type="spellEnd"/>
      <w:r>
        <w:rPr>
          <w:rStyle w:val="Strong"/>
          <w:b w:val="0"/>
          <w:bCs w:val="0"/>
          <w:iCs/>
          <w:color w:val="2D3B45"/>
        </w:rPr>
        <w:t xml:space="preserve">); noting costume. It also includes looking at the use of Shona speech; in some ways, the written script (which contains translations into English) is at odds with the performance (in which the original language is spoken without translation). </w:t>
      </w:r>
    </w:p>
    <w:p w14:paraId="6566C52C" w14:textId="41DB9A86" w:rsidR="005722CD" w:rsidRDefault="005722CD" w:rsidP="005722CD">
      <w:pPr>
        <w:pStyle w:val="NormalWeb"/>
        <w:shd w:val="clear" w:color="auto" w:fill="FFFFFF"/>
        <w:spacing w:before="180" w:beforeAutospacing="0" w:after="0" w:afterAutospacing="0"/>
        <w:rPr>
          <w:rStyle w:val="Strong"/>
          <w:b w:val="0"/>
          <w:bCs w:val="0"/>
          <w:iCs/>
          <w:color w:val="2D3B45"/>
        </w:rPr>
      </w:pPr>
      <w:r>
        <w:rPr>
          <w:rStyle w:val="Strong"/>
          <w:b w:val="0"/>
          <w:bCs w:val="0"/>
          <w:iCs/>
          <w:color w:val="2D3B45"/>
        </w:rPr>
        <w:t xml:space="preserve">Genre: look at the </w:t>
      </w:r>
      <w:r w:rsidR="00D762BF">
        <w:rPr>
          <w:rStyle w:val="Strong"/>
          <w:b w:val="0"/>
          <w:bCs w:val="0"/>
          <w:iCs/>
          <w:color w:val="2D3B45"/>
        </w:rPr>
        <w:t>play’s use of humor. Who/what forms the object of humor</w:t>
      </w:r>
      <w:proofErr w:type="gramStart"/>
      <w:r w:rsidR="00D762BF">
        <w:rPr>
          <w:rStyle w:val="Strong"/>
          <w:b w:val="0"/>
          <w:bCs w:val="0"/>
          <w:iCs/>
          <w:color w:val="2D3B45"/>
        </w:rPr>
        <w:t xml:space="preserve">? </w:t>
      </w:r>
      <w:r>
        <w:rPr>
          <w:rStyle w:val="Strong"/>
          <w:b w:val="0"/>
          <w:bCs w:val="0"/>
          <w:iCs/>
          <w:color w:val="2D3B45"/>
        </w:rPr>
        <w:t xml:space="preserve"> </w:t>
      </w:r>
      <w:proofErr w:type="gramEnd"/>
      <w:r>
        <w:rPr>
          <w:rStyle w:val="Strong"/>
          <w:b w:val="0"/>
          <w:bCs w:val="0"/>
          <w:iCs/>
          <w:color w:val="2D3B45"/>
        </w:rPr>
        <w:t xml:space="preserve">How would you describe the play as a whole? Comedy? Tragedy? Tragicomedy? </w:t>
      </w:r>
      <w:proofErr w:type="spellStart"/>
      <w:r>
        <w:rPr>
          <w:rStyle w:val="Strong"/>
          <w:b w:val="0"/>
          <w:bCs w:val="0"/>
          <w:iCs/>
          <w:color w:val="2D3B45"/>
        </w:rPr>
        <w:t>Comi</w:t>
      </w:r>
      <w:proofErr w:type="spellEnd"/>
      <w:r>
        <w:rPr>
          <w:rStyle w:val="Strong"/>
          <w:b w:val="0"/>
          <w:bCs w:val="0"/>
          <w:iCs/>
          <w:color w:val="2D3B45"/>
        </w:rPr>
        <w:t xml:space="preserve">-tragedy? </w:t>
      </w:r>
      <w:r w:rsidR="00D762BF">
        <w:rPr>
          <w:rStyle w:val="Strong"/>
          <w:b w:val="0"/>
          <w:bCs w:val="0"/>
          <w:iCs/>
          <w:color w:val="2D3B45"/>
        </w:rPr>
        <w:t>Do the comic and the tragic elements work in sync or do they go in different directions? How much might the</w:t>
      </w:r>
      <w:r w:rsidR="00401346">
        <w:rPr>
          <w:rStyle w:val="Strong"/>
          <w:b w:val="0"/>
          <w:bCs w:val="0"/>
          <w:iCs/>
          <w:color w:val="2D3B45"/>
        </w:rPr>
        <w:t>se differing</w:t>
      </w:r>
      <w:r w:rsidR="00D762BF">
        <w:rPr>
          <w:rStyle w:val="Strong"/>
          <w:b w:val="0"/>
          <w:bCs w:val="0"/>
          <w:iCs/>
          <w:color w:val="2D3B45"/>
        </w:rPr>
        <w:t xml:space="preserve"> </w:t>
      </w:r>
      <w:r w:rsidR="00401346">
        <w:rPr>
          <w:rStyle w:val="Strong"/>
          <w:b w:val="0"/>
          <w:bCs w:val="0"/>
          <w:iCs/>
          <w:color w:val="2D3B45"/>
        </w:rPr>
        <w:t>emotional valences depend on the choices made by the director and the actors?</w:t>
      </w:r>
    </w:p>
    <w:p w14:paraId="2520B1E5" w14:textId="44FB3041" w:rsidR="006A62FF" w:rsidRDefault="006A62FF" w:rsidP="005722CD">
      <w:pPr>
        <w:pStyle w:val="NormalWeb"/>
        <w:shd w:val="clear" w:color="auto" w:fill="FFFFFF"/>
        <w:spacing w:before="180" w:beforeAutospacing="0" w:after="0" w:afterAutospacing="0"/>
        <w:rPr>
          <w:rStyle w:val="Strong"/>
          <w:b w:val="0"/>
          <w:bCs w:val="0"/>
          <w:iCs/>
          <w:color w:val="2D3B45"/>
        </w:rPr>
      </w:pPr>
      <w:r>
        <w:rPr>
          <w:rStyle w:val="Strong"/>
          <w:b w:val="0"/>
          <w:bCs w:val="0"/>
          <w:iCs/>
          <w:color w:val="2D3B45"/>
        </w:rPr>
        <w:t xml:space="preserve">For colonial context and a contrasting perspective, look again at the Cecil Rhodes speech of Week 1. Also, you might look at Lord Baden Powell’s book, </w:t>
      </w:r>
      <w:r w:rsidRPr="006A62FF">
        <w:rPr>
          <w:rStyle w:val="Strong"/>
          <w:b w:val="0"/>
          <w:bCs w:val="0"/>
          <w:i/>
          <w:color w:val="2D3B45"/>
        </w:rPr>
        <w:t>The Matabele Campaign</w:t>
      </w:r>
      <w:r>
        <w:rPr>
          <w:rStyle w:val="Strong"/>
          <w:b w:val="0"/>
          <w:bCs w:val="0"/>
          <w:iCs/>
          <w:color w:val="2D3B45"/>
        </w:rPr>
        <w:t xml:space="preserve"> (1896</w:t>
      </w:r>
      <w:proofErr w:type="gramStart"/>
      <w:r>
        <w:rPr>
          <w:rStyle w:val="Strong"/>
          <w:b w:val="0"/>
          <w:bCs w:val="0"/>
          <w:iCs/>
          <w:color w:val="2D3B45"/>
        </w:rPr>
        <w:t>),  on</w:t>
      </w:r>
      <w:proofErr w:type="gramEnd"/>
      <w:r>
        <w:rPr>
          <w:rStyle w:val="Strong"/>
          <w:b w:val="0"/>
          <w:bCs w:val="0"/>
          <w:iCs/>
          <w:color w:val="2D3B45"/>
        </w:rPr>
        <w:t xml:space="preserve"> British military action in Rhodesia/Zimbabwe during the period that </w:t>
      </w:r>
      <w:r>
        <w:rPr>
          <w:rStyle w:val="Strong"/>
          <w:b w:val="0"/>
          <w:bCs w:val="0"/>
          <w:i/>
          <w:iCs/>
          <w:color w:val="2D3B45"/>
        </w:rPr>
        <w:t xml:space="preserve">The Convert </w:t>
      </w:r>
      <w:r>
        <w:rPr>
          <w:rStyle w:val="Strong"/>
          <w:b w:val="0"/>
          <w:bCs w:val="0"/>
          <w:color w:val="2D3B45"/>
        </w:rPr>
        <w:t>takes place.</w:t>
      </w:r>
    </w:p>
    <w:p w14:paraId="409FF3FE" w14:textId="3E1620C8" w:rsidR="006A62FF" w:rsidRPr="00411887" w:rsidRDefault="006A62FF" w:rsidP="006A62FF">
      <w:pPr>
        <w:spacing w:after="0" w:line="240" w:lineRule="auto"/>
        <w:textAlignment w:val="center"/>
        <w:rPr>
          <w:rFonts w:ascii="Times New Roman" w:hAnsi="Times New Roman" w:cs="Times New Roman"/>
          <w:szCs w:val="24"/>
        </w:rPr>
      </w:pPr>
      <w:r w:rsidRPr="00411887">
        <w:rPr>
          <w:rFonts w:ascii="Times New Roman" w:hAnsi="Times New Roman" w:cs="Times New Roman"/>
          <w:szCs w:val="24"/>
        </w:rPr>
        <w:t>See</w:t>
      </w:r>
      <w:r w:rsidR="00F100DD">
        <w:rPr>
          <w:rFonts w:ascii="Times New Roman" w:hAnsi="Times New Roman" w:cs="Times New Roman"/>
          <w:szCs w:val="24"/>
        </w:rPr>
        <w:t xml:space="preserve">, for instance, </w:t>
      </w:r>
      <w:r w:rsidRPr="00411887">
        <w:rPr>
          <w:rFonts w:ascii="Times New Roman" w:hAnsi="Times New Roman" w:cs="Times New Roman"/>
          <w:szCs w:val="24"/>
        </w:rPr>
        <w:t>chapters 2,3, 5, 7, 10, 18:</w:t>
      </w:r>
    </w:p>
    <w:p w14:paraId="53603EE6" w14:textId="77777777" w:rsidR="006A62FF" w:rsidRPr="00411887" w:rsidRDefault="00791DA1" w:rsidP="006A62FF">
      <w:pPr>
        <w:spacing w:after="0" w:line="240" w:lineRule="auto"/>
        <w:textAlignment w:val="center"/>
        <w:rPr>
          <w:rFonts w:ascii="Times New Roman" w:hAnsi="Times New Roman" w:cs="Times New Roman"/>
          <w:szCs w:val="24"/>
        </w:rPr>
      </w:pPr>
      <w:hyperlink r:id="rId9" w:history="1">
        <w:r w:rsidR="006A62FF" w:rsidRPr="00411887">
          <w:rPr>
            <w:rStyle w:val="Hyperlink"/>
            <w:rFonts w:ascii="Times New Roman" w:hAnsi="Times New Roman" w:cs="Times New Roman"/>
            <w:szCs w:val="24"/>
          </w:rPr>
          <w:t>http://www.gutenberg.org/files/47158/47158-h/47158-h.htm</w:t>
        </w:r>
      </w:hyperlink>
    </w:p>
    <w:p w14:paraId="53A373D7" w14:textId="41B19B84" w:rsidR="006A62FF" w:rsidRDefault="006A62FF" w:rsidP="005722CD">
      <w:pPr>
        <w:pStyle w:val="NormalWeb"/>
        <w:shd w:val="clear" w:color="auto" w:fill="FFFFFF"/>
        <w:spacing w:before="180" w:beforeAutospacing="0" w:after="0" w:afterAutospacing="0"/>
        <w:rPr>
          <w:rStyle w:val="Strong"/>
          <w:b w:val="0"/>
          <w:bCs w:val="0"/>
          <w:iCs/>
          <w:color w:val="2D3B45"/>
        </w:rPr>
      </w:pPr>
      <w:r>
        <w:rPr>
          <w:rStyle w:val="Strong"/>
          <w:b w:val="0"/>
          <w:bCs w:val="0"/>
          <w:iCs/>
          <w:color w:val="2D3B45"/>
        </w:rPr>
        <w:t>Baden Powell was the founder of the Boy Scouts movement.</w:t>
      </w:r>
    </w:p>
    <w:p w14:paraId="55A7DC1C" w14:textId="402EFBE3" w:rsidR="006A62FF" w:rsidRDefault="006A62FF" w:rsidP="005722CD">
      <w:pPr>
        <w:pStyle w:val="NormalWeb"/>
        <w:shd w:val="clear" w:color="auto" w:fill="FFFFFF"/>
        <w:spacing w:before="180" w:beforeAutospacing="0" w:after="0" w:afterAutospacing="0"/>
        <w:rPr>
          <w:rStyle w:val="Strong"/>
          <w:b w:val="0"/>
          <w:bCs w:val="0"/>
          <w:iCs/>
          <w:color w:val="2D3B45"/>
        </w:rPr>
      </w:pPr>
      <w:r>
        <w:rPr>
          <w:rStyle w:val="Strong"/>
          <w:b w:val="0"/>
          <w:bCs w:val="0"/>
          <w:iCs/>
          <w:color w:val="2D3B45"/>
        </w:rPr>
        <w:t xml:space="preserve">Be attentive to the way in which gender features in the play. Would you say that the play’s approach to issues of women’s oppression, agency and freedom corresponds with the approaches of Awa Thiam and/or </w:t>
      </w:r>
      <w:proofErr w:type="spellStart"/>
      <w:r>
        <w:rPr>
          <w:rStyle w:val="Strong"/>
          <w:b w:val="0"/>
          <w:bCs w:val="0"/>
          <w:iCs/>
          <w:color w:val="2D3B45"/>
        </w:rPr>
        <w:t>Molara</w:t>
      </w:r>
      <w:proofErr w:type="spellEnd"/>
      <w:r>
        <w:rPr>
          <w:rStyle w:val="Strong"/>
          <w:b w:val="0"/>
          <w:bCs w:val="0"/>
          <w:iCs/>
          <w:color w:val="2D3B45"/>
        </w:rPr>
        <w:t xml:space="preserve"> </w:t>
      </w:r>
      <w:proofErr w:type="spellStart"/>
      <w:r>
        <w:rPr>
          <w:rStyle w:val="Strong"/>
          <w:b w:val="0"/>
          <w:bCs w:val="0"/>
          <w:iCs/>
          <w:color w:val="2D3B45"/>
        </w:rPr>
        <w:t>Ogundipe</w:t>
      </w:r>
      <w:proofErr w:type="spellEnd"/>
      <w:r>
        <w:rPr>
          <w:rStyle w:val="Strong"/>
          <w:b w:val="0"/>
          <w:bCs w:val="0"/>
          <w:iCs/>
          <w:color w:val="2D3B45"/>
        </w:rPr>
        <w:t>-Leslie?</w:t>
      </w:r>
    </w:p>
    <w:p w14:paraId="6581F9AC" w14:textId="1DB5C0D9" w:rsidR="006A62FF" w:rsidRDefault="006A62FF" w:rsidP="005722CD">
      <w:pPr>
        <w:pStyle w:val="NormalWeb"/>
        <w:shd w:val="clear" w:color="auto" w:fill="FFFFFF"/>
        <w:spacing w:before="180" w:beforeAutospacing="0" w:after="0" w:afterAutospacing="0"/>
        <w:rPr>
          <w:rStyle w:val="Strong"/>
          <w:b w:val="0"/>
          <w:bCs w:val="0"/>
          <w:iCs/>
          <w:color w:val="2D3B45"/>
        </w:rPr>
      </w:pPr>
      <w:r>
        <w:rPr>
          <w:rStyle w:val="Strong"/>
          <w:b w:val="0"/>
          <w:bCs w:val="0"/>
          <w:iCs/>
          <w:color w:val="2D3B45"/>
        </w:rPr>
        <w:t>Think about the play in relation to Cabral and Fanon</w:t>
      </w:r>
      <w:r w:rsidR="00D762BF">
        <w:rPr>
          <w:rStyle w:val="Strong"/>
          <w:b w:val="0"/>
          <w:bCs w:val="0"/>
          <w:iCs/>
          <w:color w:val="2D3B45"/>
        </w:rPr>
        <w:t>’s theories on nationalist culture/anti-colonial culture</w:t>
      </w:r>
      <w:proofErr w:type="gramStart"/>
      <w:r w:rsidR="006A0D73">
        <w:rPr>
          <w:rStyle w:val="Strong"/>
          <w:b w:val="0"/>
          <w:bCs w:val="0"/>
          <w:iCs/>
          <w:color w:val="2D3B45"/>
        </w:rPr>
        <w:t xml:space="preserve">. </w:t>
      </w:r>
      <w:r w:rsidR="00D762BF">
        <w:rPr>
          <w:rStyle w:val="Strong"/>
          <w:b w:val="0"/>
          <w:bCs w:val="0"/>
          <w:iCs/>
          <w:color w:val="2D3B45"/>
        </w:rPr>
        <w:t>,</w:t>
      </w:r>
      <w:proofErr w:type="gramEnd"/>
      <w:r w:rsidR="00D762BF">
        <w:rPr>
          <w:rStyle w:val="Strong"/>
          <w:b w:val="0"/>
          <w:bCs w:val="0"/>
          <w:iCs/>
          <w:color w:val="2D3B45"/>
        </w:rPr>
        <w:t xml:space="preserve"> as a contribution to national (Zimbabwean) culture. In what ways can it be characterized as an anti-colonial or nationalist play? What stance does the play take towards pre-colonial/Zimbabwean spiritual</w:t>
      </w:r>
      <w:r w:rsidR="006A0D73">
        <w:rPr>
          <w:rStyle w:val="Strong"/>
          <w:b w:val="0"/>
          <w:bCs w:val="0"/>
          <w:iCs/>
          <w:color w:val="2D3B45"/>
        </w:rPr>
        <w:t xml:space="preserve"> and cultural </w:t>
      </w:r>
      <w:r w:rsidR="00D762BF">
        <w:rPr>
          <w:rStyle w:val="Strong"/>
          <w:b w:val="0"/>
          <w:bCs w:val="0"/>
          <w:iCs/>
          <w:color w:val="2D3B45"/>
        </w:rPr>
        <w:t xml:space="preserve">systems? In what ways does the play depart from the theories of Fanon and Cabral? </w:t>
      </w:r>
    </w:p>
    <w:p w14:paraId="28473F28" w14:textId="345654BE" w:rsidR="00D762BF" w:rsidRDefault="00D762BF" w:rsidP="005722CD">
      <w:pPr>
        <w:pStyle w:val="NormalWeb"/>
        <w:shd w:val="clear" w:color="auto" w:fill="FFFFFF"/>
        <w:spacing w:before="180" w:beforeAutospacing="0" w:after="0" w:afterAutospacing="0"/>
        <w:rPr>
          <w:rStyle w:val="Strong"/>
          <w:b w:val="0"/>
          <w:bCs w:val="0"/>
          <w:iCs/>
          <w:color w:val="2D3B45"/>
        </w:rPr>
      </w:pPr>
      <w:r>
        <w:rPr>
          <w:rStyle w:val="Strong"/>
          <w:b w:val="0"/>
          <w:bCs w:val="0"/>
          <w:iCs/>
          <w:color w:val="2D3B45"/>
        </w:rPr>
        <w:lastRenderedPageBreak/>
        <w:t xml:space="preserve">Think about </w:t>
      </w:r>
      <w:r w:rsidR="006A0D73">
        <w:rPr>
          <w:rStyle w:val="Strong"/>
          <w:b w:val="0"/>
          <w:bCs w:val="0"/>
          <w:iCs/>
          <w:color w:val="2D3B45"/>
        </w:rPr>
        <w:t xml:space="preserve">how </w:t>
      </w:r>
      <w:r>
        <w:rPr>
          <w:rStyle w:val="Strong"/>
          <w:b w:val="0"/>
          <w:bCs w:val="0"/>
          <w:iCs/>
          <w:color w:val="2D3B45"/>
        </w:rPr>
        <w:t>Fanon and Cabral</w:t>
      </w:r>
      <w:r w:rsidR="006A0D73">
        <w:rPr>
          <w:rStyle w:val="Strong"/>
          <w:b w:val="0"/>
          <w:bCs w:val="0"/>
          <w:iCs/>
          <w:color w:val="2D3B45"/>
        </w:rPr>
        <w:t xml:space="preserve"> characterize and </w:t>
      </w:r>
      <w:proofErr w:type="spellStart"/>
      <w:r w:rsidR="006A0D73">
        <w:rPr>
          <w:rStyle w:val="Strong"/>
          <w:b w:val="0"/>
          <w:bCs w:val="0"/>
          <w:iCs/>
          <w:color w:val="2D3B45"/>
        </w:rPr>
        <w:t>analyse</w:t>
      </w:r>
      <w:proofErr w:type="spellEnd"/>
      <w:r w:rsidR="006A0D73">
        <w:rPr>
          <w:rStyle w:val="Strong"/>
          <w:b w:val="0"/>
          <w:bCs w:val="0"/>
          <w:iCs/>
          <w:color w:val="2D3B45"/>
        </w:rPr>
        <w:t xml:space="preserve"> the experience </w:t>
      </w:r>
      <w:r>
        <w:rPr>
          <w:rStyle w:val="Strong"/>
          <w:b w:val="0"/>
          <w:bCs w:val="0"/>
          <w:iCs/>
          <w:color w:val="2D3B45"/>
        </w:rPr>
        <w:t xml:space="preserve">of </w:t>
      </w:r>
      <w:r w:rsidR="006A0D73">
        <w:rPr>
          <w:rStyle w:val="Strong"/>
          <w:b w:val="0"/>
          <w:bCs w:val="0"/>
          <w:iCs/>
          <w:color w:val="2D3B45"/>
        </w:rPr>
        <w:t xml:space="preserve">cultural, </w:t>
      </w:r>
      <w:proofErr w:type="gramStart"/>
      <w:r w:rsidR="006A0D73">
        <w:rPr>
          <w:rStyle w:val="Strong"/>
          <w:b w:val="0"/>
          <w:bCs w:val="0"/>
          <w:iCs/>
          <w:color w:val="2D3B45"/>
        </w:rPr>
        <w:t>social</w:t>
      </w:r>
      <w:proofErr w:type="gramEnd"/>
      <w:r w:rsidR="006A0D73">
        <w:rPr>
          <w:rStyle w:val="Strong"/>
          <w:b w:val="0"/>
          <w:bCs w:val="0"/>
          <w:iCs/>
          <w:color w:val="2D3B45"/>
        </w:rPr>
        <w:t xml:space="preserve"> and psychological </w:t>
      </w:r>
      <w:r>
        <w:rPr>
          <w:rStyle w:val="Strong"/>
          <w:b w:val="0"/>
          <w:bCs w:val="0"/>
          <w:iCs/>
          <w:color w:val="2D3B45"/>
        </w:rPr>
        <w:t>alienation</w:t>
      </w:r>
      <w:r w:rsidR="006A0D73">
        <w:rPr>
          <w:rStyle w:val="Strong"/>
          <w:b w:val="0"/>
          <w:bCs w:val="0"/>
          <w:iCs/>
          <w:color w:val="2D3B45"/>
        </w:rPr>
        <w:t xml:space="preserve">. Think about how </w:t>
      </w:r>
      <w:r>
        <w:rPr>
          <w:rStyle w:val="Strong"/>
          <w:b w:val="0"/>
          <w:bCs w:val="0"/>
          <w:iCs/>
          <w:color w:val="2D3B45"/>
        </w:rPr>
        <w:t xml:space="preserve">the </w:t>
      </w:r>
      <w:proofErr w:type="spellStart"/>
      <w:r w:rsidR="00F100DD">
        <w:rPr>
          <w:rStyle w:val="Strong"/>
          <w:b w:val="0"/>
          <w:bCs w:val="0"/>
          <w:iCs/>
          <w:color w:val="2D3B45"/>
        </w:rPr>
        <w:t>Westernised</w:t>
      </w:r>
      <w:proofErr w:type="spellEnd"/>
      <w:r w:rsidR="00F100DD">
        <w:rPr>
          <w:rStyle w:val="Strong"/>
          <w:b w:val="0"/>
          <w:bCs w:val="0"/>
          <w:iCs/>
          <w:color w:val="2D3B45"/>
        </w:rPr>
        <w:t xml:space="preserve"> </w:t>
      </w:r>
      <w:r w:rsidR="006A0D73">
        <w:rPr>
          <w:rStyle w:val="Strong"/>
          <w:b w:val="0"/>
          <w:bCs w:val="0"/>
          <w:iCs/>
          <w:color w:val="2D3B45"/>
        </w:rPr>
        <w:t>and/</w:t>
      </w:r>
      <w:r w:rsidR="00F100DD">
        <w:rPr>
          <w:rStyle w:val="Strong"/>
          <w:b w:val="0"/>
          <w:bCs w:val="0"/>
          <w:iCs/>
          <w:color w:val="2D3B45"/>
        </w:rPr>
        <w:t xml:space="preserve">or Christian </w:t>
      </w:r>
      <w:r>
        <w:rPr>
          <w:rStyle w:val="Strong"/>
          <w:b w:val="0"/>
          <w:bCs w:val="0"/>
          <w:iCs/>
          <w:color w:val="2D3B45"/>
        </w:rPr>
        <w:t>characters in the play</w:t>
      </w:r>
      <w:r w:rsidR="006A0D73">
        <w:rPr>
          <w:rStyle w:val="Strong"/>
          <w:b w:val="0"/>
          <w:bCs w:val="0"/>
          <w:iCs/>
          <w:color w:val="2D3B45"/>
        </w:rPr>
        <w:t xml:space="preserve"> are represented</w:t>
      </w:r>
      <w:r>
        <w:rPr>
          <w:rStyle w:val="Strong"/>
          <w:b w:val="0"/>
          <w:bCs w:val="0"/>
          <w:iCs/>
          <w:color w:val="2D3B45"/>
        </w:rPr>
        <w:t xml:space="preserve">. </w:t>
      </w:r>
      <w:r w:rsidR="006A0D73">
        <w:rPr>
          <w:rStyle w:val="Strong"/>
          <w:b w:val="0"/>
          <w:bCs w:val="0"/>
          <w:iCs/>
          <w:color w:val="2D3B45"/>
        </w:rPr>
        <w:t>Do the characters reflect, contest, or complicate the theories of Fanon and Cabral?</w:t>
      </w:r>
    </w:p>
    <w:p w14:paraId="15768F2A" w14:textId="500AE0AE" w:rsidR="006A0D73" w:rsidRDefault="006A0D73" w:rsidP="005722CD">
      <w:pPr>
        <w:pStyle w:val="NormalWeb"/>
        <w:shd w:val="clear" w:color="auto" w:fill="FFFFFF"/>
        <w:spacing w:before="180" w:beforeAutospacing="0" w:after="0" w:afterAutospacing="0"/>
        <w:rPr>
          <w:rStyle w:val="Strong"/>
          <w:b w:val="0"/>
          <w:bCs w:val="0"/>
          <w:iCs/>
          <w:color w:val="2D3B45"/>
        </w:rPr>
      </w:pPr>
      <w:r>
        <w:rPr>
          <w:rStyle w:val="Strong"/>
          <w:b w:val="0"/>
          <w:bCs w:val="0"/>
          <w:iCs/>
          <w:color w:val="2D3B45"/>
        </w:rPr>
        <w:t xml:space="preserve">Think about how the play represents African labor, </w:t>
      </w:r>
      <w:r w:rsidR="00791DA1">
        <w:rPr>
          <w:rStyle w:val="Strong"/>
          <w:b w:val="0"/>
          <w:bCs w:val="0"/>
          <w:iCs/>
          <w:color w:val="2D3B45"/>
        </w:rPr>
        <w:t xml:space="preserve">both off </w:t>
      </w:r>
      <w:proofErr w:type="gramStart"/>
      <w:r w:rsidR="00791DA1">
        <w:rPr>
          <w:rStyle w:val="Strong"/>
          <w:b w:val="0"/>
          <w:bCs w:val="0"/>
          <w:iCs/>
          <w:color w:val="2D3B45"/>
        </w:rPr>
        <w:t>stage</w:t>
      </w:r>
      <w:proofErr w:type="gramEnd"/>
      <w:r w:rsidR="00791DA1">
        <w:rPr>
          <w:rStyle w:val="Strong"/>
          <w:b w:val="0"/>
          <w:bCs w:val="0"/>
          <w:iCs/>
          <w:color w:val="2D3B45"/>
        </w:rPr>
        <w:t xml:space="preserve">, </w:t>
      </w:r>
      <w:r>
        <w:rPr>
          <w:rStyle w:val="Strong"/>
          <w:b w:val="0"/>
          <w:bCs w:val="0"/>
          <w:iCs/>
          <w:color w:val="2D3B45"/>
        </w:rPr>
        <w:t>in mines</w:t>
      </w:r>
      <w:r w:rsidR="00791DA1">
        <w:rPr>
          <w:rStyle w:val="Strong"/>
          <w:b w:val="0"/>
          <w:bCs w:val="0"/>
          <w:iCs/>
          <w:color w:val="2D3B45"/>
        </w:rPr>
        <w:t>,</w:t>
      </w:r>
      <w:r>
        <w:rPr>
          <w:rStyle w:val="Strong"/>
          <w:b w:val="0"/>
          <w:bCs w:val="0"/>
          <w:iCs/>
          <w:color w:val="2D3B45"/>
        </w:rPr>
        <w:t xml:space="preserve"> and </w:t>
      </w:r>
      <w:r w:rsidR="00791DA1">
        <w:rPr>
          <w:rStyle w:val="Strong"/>
          <w:b w:val="0"/>
          <w:bCs w:val="0"/>
          <w:iCs/>
          <w:color w:val="2D3B45"/>
        </w:rPr>
        <w:t xml:space="preserve">on stage, </w:t>
      </w:r>
      <w:r>
        <w:rPr>
          <w:rStyle w:val="Strong"/>
          <w:b w:val="0"/>
          <w:bCs w:val="0"/>
          <w:iCs/>
          <w:color w:val="2D3B45"/>
        </w:rPr>
        <w:t>in homes</w:t>
      </w:r>
      <w:r w:rsidR="00791DA1">
        <w:rPr>
          <w:rStyle w:val="Strong"/>
          <w:b w:val="0"/>
          <w:bCs w:val="0"/>
          <w:iCs/>
          <w:color w:val="2D3B45"/>
        </w:rPr>
        <w:t>. How important are the operations of colonial economy, including wage labor, taxes, and commodity production, in this play?</w:t>
      </w:r>
    </w:p>
    <w:p w14:paraId="65566EA4" w14:textId="1A176EDC" w:rsidR="00D762BF" w:rsidRPr="005722CD" w:rsidRDefault="00D762BF" w:rsidP="005722CD">
      <w:pPr>
        <w:pStyle w:val="NormalWeb"/>
        <w:shd w:val="clear" w:color="auto" w:fill="FFFFFF"/>
        <w:spacing w:before="180" w:beforeAutospacing="0" w:after="0" w:afterAutospacing="0"/>
        <w:rPr>
          <w:rStyle w:val="Strong"/>
          <w:b w:val="0"/>
          <w:bCs w:val="0"/>
          <w:iCs/>
          <w:color w:val="2D3B45"/>
        </w:rPr>
      </w:pPr>
      <w:r>
        <w:rPr>
          <w:rStyle w:val="Strong"/>
          <w:b w:val="0"/>
          <w:bCs w:val="0"/>
          <w:iCs/>
          <w:color w:val="2D3B45"/>
        </w:rPr>
        <w:t>There will be only one discussion post in Week 4, due on Thursday April 23</w:t>
      </w:r>
      <w:r w:rsidRPr="00D762BF">
        <w:rPr>
          <w:rStyle w:val="Strong"/>
          <w:b w:val="0"/>
          <w:bCs w:val="0"/>
          <w:iCs/>
          <w:color w:val="2D3B45"/>
          <w:vertAlign w:val="superscript"/>
        </w:rPr>
        <w:t>rd</w:t>
      </w:r>
      <w:r>
        <w:rPr>
          <w:rStyle w:val="Strong"/>
          <w:b w:val="0"/>
          <w:bCs w:val="0"/>
          <w:iCs/>
          <w:color w:val="2D3B45"/>
        </w:rPr>
        <w:t>, midnight.</w:t>
      </w:r>
    </w:p>
    <w:p w14:paraId="0DB1E920" w14:textId="04082999" w:rsidR="005722CD" w:rsidRPr="005722CD" w:rsidRDefault="005722CD" w:rsidP="005722CD">
      <w:pPr>
        <w:pStyle w:val="NormalWeb"/>
        <w:shd w:val="clear" w:color="auto" w:fill="FFFFFF"/>
        <w:spacing w:before="180" w:beforeAutospacing="0" w:after="0" w:afterAutospacing="0"/>
        <w:rPr>
          <w:color w:val="2D3B45"/>
        </w:rPr>
      </w:pPr>
      <w:r w:rsidRPr="005722CD">
        <w:rPr>
          <w:rStyle w:val="Strong"/>
          <w:color w:val="2D3B45"/>
        </w:rPr>
        <w:t xml:space="preserve">Discussion post (week 4) on </w:t>
      </w:r>
      <w:r w:rsidRPr="005722CD">
        <w:rPr>
          <w:rStyle w:val="Emphasis"/>
          <w:b/>
          <w:bCs/>
          <w:color w:val="2D3B45"/>
        </w:rPr>
        <w:t>The Convert</w:t>
      </w:r>
      <w:r w:rsidR="00D762BF">
        <w:rPr>
          <w:rStyle w:val="Emphasis"/>
          <w:color w:val="2D3B45"/>
        </w:rPr>
        <w:t>:</w:t>
      </w:r>
    </w:p>
    <w:p w14:paraId="7C67AF2E" w14:textId="1CD96693" w:rsidR="005722CD" w:rsidRPr="005722CD" w:rsidRDefault="005722CD" w:rsidP="005722CD">
      <w:pPr>
        <w:pStyle w:val="NormalWeb"/>
        <w:shd w:val="clear" w:color="auto" w:fill="FFFFFF"/>
        <w:spacing w:before="180" w:beforeAutospacing="0" w:after="0" w:afterAutospacing="0"/>
        <w:rPr>
          <w:color w:val="2D3B45"/>
        </w:rPr>
      </w:pPr>
      <w:r w:rsidRPr="005722CD">
        <w:rPr>
          <w:color w:val="2D3B45"/>
        </w:rPr>
        <w:t>Watch the video of the tech rehearsal for Act I, Scene 3 of </w:t>
      </w:r>
      <w:r w:rsidRPr="005722CD">
        <w:rPr>
          <w:rStyle w:val="Emphasis"/>
          <w:color w:val="2D3B45"/>
        </w:rPr>
        <w:t>The Convert</w:t>
      </w:r>
      <w:r w:rsidRPr="005722CD">
        <w:rPr>
          <w:color w:val="2D3B45"/>
        </w:rPr>
        <w:t> (link in Canvas syllabus). Write a discussion board post</w:t>
      </w:r>
      <w:r w:rsidR="00791DA1">
        <w:rPr>
          <w:color w:val="2D3B45"/>
        </w:rPr>
        <w:t xml:space="preserve">, to your Zoom </w:t>
      </w:r>
      <w:proofErr w:type="gramStart"/>
      <w:r w:rsidR="00791DA1">
        <w:rPr>
          <w:color w:val="2D3B45"/>
        </w:rPr>
        <w:t xml:space="preserve">group, </w:t>
      </w:r>
      <w:r w:rsidRPr="005722CD">
        <w:rPr>
          <w:color w:val="2D3B45"/>
        </w:rPr>
        <w:t xml:space="preserve"> on</w:t>
      </w:r>
      <w:proofErr w:type="gramEnd"/>
      <w:r w:rsidRPr="005722CD">
        <w:rPr>
          <w:color w:val="2D3B45"/>
        </w:rPr>
        <w:t xml:space="preserve"> what you think the performance </w:t>
      </w:r>
      <w:r w:rsidRPr="005722CD">
        <w:rPr>
          <w:rStyle w:val="Emphasis"/>
          <w:color w:val="2D3B45"/>
        </w:rPr>
        <w:t>adds</w:t>
      </w:r>
      <w:r w:rsidRPr="005722CD">
        <w:rPr>
          <w:color w:val="2D3B45"/>
        </w:rPr>
        <w:t> to your understanding of the scene when read as text. You may also comment on what, if anything, detracts from your original textual reading. </w:t>
      </w:r>
    </w:p>
    <w:p w14:paraId="197ABAF6" w14:textId="5394E889" w:rsidR="005722CD" w:rsidRPr="005722CD" w:rsidRDefault="005722CD" w:rsidP="005722CD">
      <w:pPr>
        <w:pStyle w:val="NormalWeb"/>
        <w:shd w:val="clear" w:color="auto" w:fill="FFFFFF"/>
        <w:spacing w:before="180" w:beforeAutospacing="0" w:after="0" w:afterAutospacing="0"/>
        <w:rPr>
          <w:color w:val="2D3B45"/>
        </w:rPr>
      </w:pPr>
      <w:r w:rsidRPr="005722CD">
        <w:rPr>
          <w:color w:val="2D3B45"/>
        </w:rPr>
        <w:t>OR:</w:t>
      </w:r>
    </w:p>
    <w:p w14:paraId="30B86FD2" w14:textId="4FAFF0A0" w:rsidR="005722CD" w:rsidRPr="005722CD" w:rsidRDefault="005722CD" w:rsidP="005722CD">
      <w:pPr>
        <w:pStyle w:val="NormalWeb"/>
        <w:shd w:val="clear" w:color="auto" w:fill="FFFFFF"/>
        <w:spacing w:before="180" w:beforeAutospacing="0" w:after="0" w:afterAutospacing="0"/>
        <w:rPr>
          <w:color w:val="2D3B45"/>
        </w:rPr>
      </w:pPr>
      <w:r w:rsidRPr="005722CD">
        <w:rPr>
          <w:color w:val="2D3B45"/>
        </w:rPr>
        <w:t xml:space="preserve">For Fanon, it was by violent confrontation that colonialism entered the modern world stage, and it is by violence that it must necessarily exit. </w:t>
      </w:r>
      <w:proofErr w:type="gramStart"/>
      <w:r w:rsidRPr="005722CD">
        <w:rPr>
          <w:color w:val="2D3B45"/>
        </w:rPr>
        <w:t>With this in mind, assess</w:t>
      </w:r>
      <w:proofErr w:type="gramEnd"/>
      <w:r w:rsidRPr="005722CD">
        <w:rPr>
          <w:color w:val="2D3B45"/>
        </w:rPr>
        <w:t xml:space="preserve"> the role violence plays in Act III of </w:t>
      </w:r>
      <w:r w:rsidRPr="005722CD">
        <w:rPr>
          <w:rStyle w:val="Emphasis"/>
          <w:color w:val="2D3B45"/>
        </w:rPr>
        <w:t>The Convert</w:t>
      </w:r>
      <w:r w:rsidRPr="005722CD">
        <w:rPr>
          <w:color w:val="2D3B45"/>
        </w:rPr>
        <w:t xml:space="preserve">. This could include studying the representation of explicit violence in the acts of </w:t>
      </w:r>
      <w:proofErr w:type="spellStart"/>
      <w:r w:rsidRPr="005722CD">
        <w:rPr>
          <w:color w:val="2D3B45"/>
        </w:rPr>
        <w:t>Tamba</w:t>
      </w:r>
      <w:proofErr w:type="spellEnd"/>
      <w:r w:rsidRPr="005722CD">
        <w:rPr>
          <w:color w:val="2D3B45"/>
        </w:rPr>
        <w:t xml:space="preserve">/Uncle, </w:t>
      </w:r>
      <w:proofErr w:type="spellStart"/>
      <w:r w:rsidRPr="005722CD">
        <w:rPr>
          <w:color w:val="2D3B45"/>
        </w:rPr>
        <w:t>Jekesai</w:t>
      </w:r>
      <w:proofErr w:type="spellEnd"/>
      <w:r w:rsidRPr="005722CD">
        <w:rPr>
          <w:color w:val="2D3B45"/>
        </w:rPr>
        <w:t xml:space="preserve">/Ester, or the absence or transfiguration of violence in the figures of </w:t>
      </w:r>
      <w:proofErr w:type="spellStart"/>
      <w:r w:rsidRPr="005722CD">
        <w:rPr>
          <w:color w:val="2D3B45"/>
        </w:rPr>
        <w:t>Chilford</w:t>
      </w:r>
      <w:proofErr w:type="spellEnd"/>
      <w:r w:rsidRPr="005722CD">
        <w:rPr>
          <w:color w:val="2D3B45"/>
        </w:rPr>
        <w:t>, Prudence, or Chancellor. Are there are any ways that colonial violence is directed </w:t>
      </w:r>
      <w:r w:rsidRPr="005722CD">
        <w:rPr>
          <w:rStyle w:val="Emphasis"/>
          <w:color w:val="2D3B45"/>
        </w:rPr>
        <w:t>inward</w:t>
      </w:r>
      <w:r w:rsidRPr="005722CD">
        <w:rPr>
          <w:color w:val="2D3B45"/>
        </w:rPr>
        <w:t xml:space="preserve"> in the figure of the colonized African subject? Are there any other ways in which </w:t>
      </w:r>
      <w:proofErr w:type="gramStart"/>
      <w:r w:rsidRPr="005722CD">
        <w:rPr>
          <w:color w:val="2D3B45"/>
        </w:rPr>
        <w:t>violence.</w:t>
      </w:r>
      <w:proofErr w:type="gramEnd"/>
      <w:r w:rsidRPr="005722CD">
        <w:rPr>
          <w:color w:val="2D3B45"/>
        </w:rPr>
        <w:t xml:space="preserve"> manifests across the thoughts or behavior of characters? </w:t>
      </w:r>
    </w:p>
    <w:p w14:paraId="687395CA" w14:textId="67E126E7" w:rsidR="00013A86" w:rsidRDefault="00013A86">
      <w:pPr>
        <w:rPr>
          <w:rFonts w:ascii="Times New Roman" w:hAnsi="Times New Roman" w:cs="Times New Roman"/>
        </w:rPr>
      </w:pPr>
    </w:p>
    <w:p w14:paraId="439E49E1" w14:textId="77777777" w:rsidR="00FE3FA2" w:rsidRPr="005722CD" w:rsidRDefault="00FE3FA2">
      <w:pPr>
        <w:rPr>
          <w:rFonts w:ascii="Times New Roman" w:hAnsi="Times New Roman" w:cs="Times New Roman"/>
        </w:rPr>
      </w:pPr>
    </w:p>
    <w:sectPr w:rsidR="00FE3FA2" w:rsidRPr="00572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101FE6"/>
    <w:multiLevelType w:val="hybridMultilevel"/>
    <w:tmpl w:val="FE300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2CD"/>
    <w:rsid w:val="00013A86"/>
    <w:rsid w:val="002E1FB8"/>
    <w:rsid w:val="00401346"/>
    <w:rsid w:val="005722CD"/>
    <w:rsid w:val="006A0D73"/>
    <w:rsid w:val="006A62FF"/>
    <w:rsid w:val="00791DA1"/>
    <w:rsid w:val="0088776E"/>
    <w:rsid w:val="00D4118F"/>
    <w:rsid w:val="00D762BF"/>
    <w:rsid w:val="00F100DD"/>
    <w:rsid w:val="00FE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D9B75"/>
  <w15:chartTrackingRefBased/>
  <w15:docId w15:val="{E5857B6A-F137-477D-AD96-D84D36C2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22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22CD"/>
    <w:rPr>
      <w:b/>
      <w:bCs/>
    </w:rPr>
  </w:style>
  <w:style w:type="character" w:styleId="Emphasis">
    <w:name w:val="Emphasis"/>
    <w:basedOn w:val="DefaultParagraphFont"/>
    <w:uiPriority w:val="20"/>
    <w:qFormat/>
    <w:rsid w:val="005722CD"/>
    <w:rPr>
      <w:i/>
      <w:iCs/>
    </w:rPr>
  </w:style>
  <w:style w:type="character" w:styleId="Hyperlink">
    <w:name w:val="Hyperlink"/>
    <w:basedOn w:val="DefaultParagraphFont"/>
    <w:uiPriority w:val="99"/>
    <w:unhideWhenUsed/>
    <w:rsid w:val="006A62FF"/>
    <w:rPr>
      <w:color w:val="0000FF"/>
      <w:u w:val="single"/>
    </w:rPr>
  </w:style>
  <w:style w:type="character" w:customStyle="1" w:styleId="authors">
    <w:name w:val="authors"/>
    <w:basedOn w:val="DefaultParagraphFont"/>
    <w:rsid w:val="002E1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49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gR-R6S3qA4" TargetMode="External"/><Relationship Id="rId3" Type="http://schemas.openxmlformats.org/officeDocument/2006/relationships/settings" Target="settings.xml"/><Relationship Id="rId7" Type="http://schemas.openxmlformats.org/officeDocument/2006/relationships/hyperlink" Target="https://www.youtube.com/watch?v=1PUA9JXhgos&amp;t=459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3K9P9OKEzY" TargetMode="External"/><Relationship Id="rId11" Type="http://schemas.openxmlformats.org/officeDocument/2006/relationships/theme" Target="theme/theme1.xml"/><Relationship Id="rId5" Type="http://schemas.openxmlformats.org/officeDocument/2006/relationships/hyperlink" Target="https://www.youtube.com/watch?v=bcM8skwmIC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utenberg.org/files/47158/47158-h/47158-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5</cp:revision>
  <dcterms:created xsi:type="dcterms:W3CDTF">2020-04-09T19:06:00Z</dcterms:created>
  <dcterms:modified xsi:type="dcterms:W3CDTF">2020-04-15T17:11:00Z</dcterms:modified>
</cp:coreProperties>
</file>