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7B17F" w14:textId="57B84677" w:rsidR="009605C7" w:rsidRPr="00965D97" w:rsidRDefault="00157EE9">
      <w:pPr>
        <w:rPr>
          <w:b/>
          <w:bCs/>
        </w:rPr>
      </w:pPr>
      <w:r w:rsidRPr="00965D97">
        <w:rPr>
          <w:b/>
          <w:bCs/>
        </w:rPr>
        <w:t>Eastern Europe and Global Contemporary Art</w:t>
      </w:r>
    </w:p>
    <w:p w14:paraId="537438A4" w14:textId="6D45DC8F" w:rsidR="00965D97" w:rsidRDefault="00965D97">
      <w:r>
        <w:t xml:space="preserve">Professor Adair </w:t>
      </w:r>
      <w:proofErr w:type="spellStart"/>
      <w:r>
        <w:t>Rounthwaite</w:t>
      </w:r>
      <w:proofErr w:type="spellEnd"/>
      <w:r>
        <w:t xml:space="preserve"> </w:t>
      </w:r>
    </w:p>
    <w:p w14:paraId="2C2B4C11" w14:textId="65558881" w:rsidR="00965D97" w:rsidRDefault="00965D97">
      <w:r>
        <w:t>Spring quarter, Fridays 9-12 (alternating synchronous Zoom and asynchronous weeks)</w:t>
      </w:r>
    </w:p>
    <w:p w14:paraId="241E7383" w14:textId="6E4D6BD4" w:rsidR="00965D97" w:rsidRDefault="007B112B">
      <w:hyperlink r:id="rId6" w:history="1">
        <w:r w:rsidR="00965D97" w:rsidRPr="00CC7313">
          <w:rPr>
            <w:rStyle w:val="Hyperlink"/>
          </w:rPr>
          <w:t>vadair@uw.edu</w:t>
        </w:r>
      </w:hyperlink>
      <w:r w:rsidR="00965D97">
        <w:t>, office hours by appointment</w:t>
      </w:r>
    </w:p>
    <w:p w14:paraId="2B2E9AC7" w14:textId="35F49A63" w:rsidR="000E70D2" w:rsidRDefault="000E70D2"/>
    <w:p w14:paraId="6A9B0268" w14:textId="0FD63CF2" w:rsidR="00965D97" w:rsidRDefault="000E70D2" w:rsidP="00965D97">
      <w:r>
        <w:t xml:space="preserve">This seminar examines questions about the global nature of contemporary art production and art’s relationship to its context, via the analysis of modern and contemporary art in Central and Eastern Europe. Art of this region </w:t>
      </w:r>
      <w:r w:rsidR="00965D97">
        <w:t xml:space="preserve">coalesced as a focus within English-language art history in the 1990s. </w:t>
      </w:r>
      <w:r>
        <w:t xml:space="preserve">Since that time, the field has come a long way from viewing this art as something repressed and isolated that struggled to thrive “behind” the Iron Curtain and </w:t>
      </w:r>
      <w:r w:rsidR="00CE419F">
        <w:t xml:space="preserve">has </w:t>
      </w:r>
      <w:r w:rsidR="00383C89">
        <w:t xml:space="preserve">begun to look at the lively forms of intellectual exchange that </w:t>
      </w:r>
      <w:r w:rsidR="00CA7943">
        <w:t>connected artists to each o</w:t>
      </w:r>
      <w:r w:rsidR="006E29E9">
        <w:t>ther</w:t>
      </w:r>
      <w:r w:rsidR="00CA7943">
        <w:t xml:space="preserve"> and to colleagues across the world. Moreover, even under the most repressive state conditions, censorship didn’t unilaterally determine creative possibilities, but rather </w:t>
      </w:r>
      <w:r w:rsidR="00B75789">
        <w:t xml:space="preserve">set in motion complex, uneven power relationships between artists and the state. Our seminar will use Central and Eastern Europe as a </w:t>
      </w:r>
      <w:r w:rsidR="00607C37">
        <w:t xml:space="preserve">case study </w:t>
      </w:r>
      <w:r w:rsidR="00CA7943">
        <w:t xml:space="preserve">to think through questions about how art is connected to its context, specifically, how it can respond to </w:t>
      </w:r>
      <w:r w:rsidR="005D7358">
        <w:t>difficult</w:t>
      </w:r>
      <w:r w:rsidR="00CA7943">
        <w:t xml:space="preserve"> political circumstances without being </w:t>
      </w:r>
      <w:r w:rsidR="005D7358">
        <w:t xml:space="preserve">unilaterally determined by them. </w:t>
      </w:r>
      <w:r w:rsidR="002C5235">
        <w:t xml:space="preserve">Our readings will place texts about the region in conversation with others written on themes of transnational and postcolonial modernism from other fields, in order to develop a comparative understanding of how to approach the art histories of a given geographic area. </w:t>
      </w:r>
      <w:r w:rsidR="00607C37">
        <w:t xml:space="preserve">Regardless of whether you have an existing interest in the region, the seminar will provide opportunities to reflect on trenchant questions about art, politics, and social </w:t>
      </w:r>
      <w:r w:rsidR="00A13274">
        <w:t>worlds</w:t>
      </w:r>
      <w:r w:rsidR="00607C37">
        <w:t xml:space="preserve"> that have wide-ranging importance for artists and scholars today. </w:t>
      </w:r>
    </w:p>
    <w:p w14:paraId="3CFDAC80" w14:textId="6ACF6CCF" w:rsidR="005D7358" w:rsidRDefault="005D7358" w:rsidP="00965D97"/>
    <w:p w14:paraId="328E37E3" w14:textId="6908523A" w:rsidR="005D7358" w:rsidRDefault="005D7358" w:rsidP="00965D97">
      <w:r>
        <w:t>The course is organized with a synchronous Zoom discussion</w:t>
      </w:r>
      <w:r w:rsidR="00526BDE">
        <w:t xml:space="preserve"> on Friday from 9 to 12</w:t>
      </w:r>
      <w:r>
        <w:t xml:space="preserve"> every </w:t>
      </w:r>
      <w:r>
        <w:rPr>
          <w:i/>
          <w:iCs/>
        </w:rPr>
        <w:t xml:space="preserve">other </w:t>
      </w:r>
      <w:r>
        <w:t xml:space="preserve">week. On the alternate weeks, we will work together to annotate </w:t>
      </w:r>
      <w:r w:rsidR="00141785">
        <w:t xml:space="preserve">texts using hypothes.is and will use discussion tools to share our thoughts about material we view online. Students can choose either to write a major paper, or to </w:t>
      </w:r>
      <w:r w:rsidR="00607C37">
        <w:t xml:space="preserve">write two shorter response papers that address directed prompts. </w:t>
      </w:r>
    </w:p>
    <w:p w14:paraId="242B9198" w14:textId="367D32A3" w:rsidR="00607C37" w:rsidRDefault="00607C37" w:rsidP="00965D97"/>
    <w:p w14:paraId="7C0C5673" w14:textId="243D9A75" w:rsidR="00607C37" w:rsidRPr="005D7358" w:rsidRDefault="00607C37" w:rsidP="00965D97">
      <w:r>
        <w:t xml:space="preserve">This course is designed primarily for graduate students in Art, Art History, and related Arts and Humanities fields. Advanced undergraduates may also enroll if they have done significant relevant coursework; if that is your situation, please contact me to discuss registration. </w:t>
      </w:r>
    </w:p>
    <w:p w14:paraId="5790E878" w14:textId="77777777" w:rsidR="009C49E5" w:rsidRDefault="009C49E5"/>
    <w:p w14:paraId="0874CF50" w14:textId="1EA61FE8" w:rsidR="00F106A9" w:rsidRPr="009C49CD" w:rsidRDefault="00F106A9">
      <w:pPr>
        <w:rPr>
          <w:b/>
          <w:bCs/>
        </w:rPr>
      </w:pPr>
      <w:r w:rsidRPr="009C49CD">
        <w:rPr>
          <w:b/>
          <w:bCs/>
        </w:rPr>
        <w:t>Evaluation</w:t>
      </w:r>
    </w:p>
    <w:p w14:paraId="5246F695" w14:textId="740C761F" w:rsidR="00F106A9" w:rsidRDefault="00F106A9">
      <w:r>
        <w:t xml:space="preserve"> </w:t>
      </w:r>
    </w:p>
    <w:tbl>
      <w:tblPr>
        <w:tblStyle w:val="TableGrid"/>
        <w:tblW w:w="0" w:type="auto"/>
        <w:tblLook w:val="04A0" w:firstRow="1" w:lastRow="0" w:firstColumn="1" w:lastColumn="0" w:noHBand="0" w:noVBand="1"/>
      </w:tblPr>
      <w:tblGrid>
        <w:gridCol w:w="8185"/>
        <w:gridCol w:w="1165"/>
      </w:tblGrid>
      <w:tr w:rsidR="00F106A9" w14:paraId="1794525C" w14:textId="77777777" w:rsidTr="00F106A9">
        <w:tc>
          <w:tcPr>
            <w:tcW w:w="8185" w:type="dxa"/>
          </w:tcPr>
          <w:p w14:paraId="1D1C7E5F" w14:textId="767221A7" w:rsidR="00F106A9" w:rsidRDefault="00F106A9" w:rsidP="00F106A9">
            <w:r w:rsidRPr="00F106A9">
              <w:rPr>
                <w:b/>
                <w:bCs/>
              </w:rPr>
              <w:t>Option A:</w:t>
            </w:r>
            <w:r>
              <w:t xml:space="preserve"> Two 5-page response papers, due in weeks 5 and 10</w:t>
            </w:r>
            <w:r>
              <w:t>. These response papers will be based on prompts pos</w:t>
            </w:r>
            <w:r w:rsidR="00C84713">
              <w:t>t</w:t>
            </w:r>
            <w:r>
              <w:t>ed to Canvas.</w:t>
            </w:r>
            <w:r w:rsidR="00634DCB">
              <w:t xml:space="preserve"> This option is strongly recommended for MFAs. </w:t>
            </w:r>
          </w:p>
          <w:p w14:paraId="509FDD02" w14:textId="4F6ABC57" w:rsidR="00F106A9" w:rsidRDefault="00F106A9" w:rsidP="00F106A9">
            <w:r w:rsidRPr="00F106A9">
              <w:rPr>
                <w:b/>
                <w:bCs/>
              </w:rPr>
              <w:t>Option B:</w:t>
            </w:r>
            <w:r>
              <w:t xml:space="preserve"> A 15-page seminar paper, due in week 10. PhD students in the art</w:t>
            </w:r>
            <w:r w:rsidR="0036072F">
              <w:t>s</w:t>
            </w:r>
            <w:r>
              <w:t xml:space="preserve"> and humanities should choose this option</w:t>
            </w:r>
            <w:r w:rsidR="00634DCB">
              <w:t xml:space="preserve"> unless there are compelling reasons to do otherwise</w:t>
            </w:r>
            <w:r>
              <w:t>.</w:t>
            </w:r>
            <w:r w:rsidR="00DE00EF">
              <w:t xml:space="preserve"> Students will submit a one-page proposal by week 4. </w:t>
            </w:r>
          </w:p>
        </w:tc>
        <w:tc>
          <w:tcPr>
            <w:tcW w:w="1165" w:type="dxa"/>
          </w:tcPr>
          <w:p w14:paraId="1FEE648E" w14:textId="70739EF5" w:rsidR="00F106A9" w:rsidRDefault="00F106A9">
            <w:r>
              <w:t>50%</w:t>
            </w:r>
          </w:p>
        </w:tc>
      </w:tr>
      <w:tr w:rsidR="00F106A9" w14:paraId="25250FD6" w14:textId="77777777" w:rsidTr="00F106A9">
        <w:tc>
          <w:tcPr>
            <w:tcW w:w="8185" w:type="dxa"/>
          </w:tcPr>
          <w:p w14:paraId="302864CC" w14:textId="5F65CBF3" w:rsidR="00F106A9" w:rsidRDefault="00F106A9">
            <w:r>
              <w:t xml:space="preserve">Participation in </w:t>
            </w:r>
            <w:r w:rsidR="0036072F">
              <w:t xml:space="preserve">Hypothes.is </w:t>
            </w:r>
            <w:r>
              <w:t>group annotations in non-synchronous weeks</w:t>
            </w:r>
            <w:r w:rsidR="000D3142">
              <w:t>, and contribution to reading questionnaire</w:t>
            </w:r>
            <w:r w:rsidR="009C49CD">
              <w:t>. See Assignments on Canvas for a description of the criteria.</w:t>
            </w:r>
          </w:p>
        </w:tc>
        <w:tc>
          <w:tcPr>
            <w:tcW w:w="1165" w:type="dxa"/>
          </w:tcPr>
          <w:p w14:paraId="18AFA3A1" w14:textId="254C6757" w:rsidR="00F106A9" w:rsidRDefault="00F106A9">
            <w:r>
              <w:t>25%</w:t>
            </w:r>
          </w:p>
        </w:tc>
      </w:tr>
      <w:tr w:rsidR="00F106A9" w14:paraId="746CC79A" w14:textId="77777777" w:rsidTr="00F106A9">
        <w:tc>
          <w:tcPr>
            <w:tcW w:w="8185" w:type="dxa"/>
          </w:tcPr>
          <w:p w14:paraId="19DD4F00" w14:textId="1C73D9F9" w:rsidR="00F106A9" w:rsidRDefault="00F106A9">
            <w:r>
              <w:t>Oral participation in synchronous weeks</w:t>
            </w:r>
            <w:r w:rsidR="009C49CD">
              <w:t xml:space="preserve">. </w:t>
            </w:r>
          </w:p>
        </w:tc>
        <w:tc>
          <w:tcPr>
            <w:tcW w:w="1165" w:type="dxa"/>
          </w:tcPr>
          <w:p w14:paraId="5A2C66B3" w14:textId="7D4F65DD" w:rsidR="00F106A9" w:rsidRDefault="00F106A9">
            <w:r>
              <w:t>25%</w:t>
            </w:r>
          </w:p>
        </w:tc>
      </w:tr>
    </w:tbl>
    <w:p w14:paraId="6D0A62D6" w14:textId="427EAD98" w:rsidR="00C452B3" w:rsidRDefault="00C452B3"/>
    <w:p w14:paraId="6539B52E" w14:textId="77777777" w:rsidR="006971C4" w:rsidRDefault="006971C4"/>
    <w:p w14:paraId="0517F4D9" w14:textId="77777777" w:rsidR="006971C4" w:rsidRDefault="006971C4"/>
    <w:p w14:paraId="6B895737" w14:textId="77777777" w:rsidR="006971C4" w:rsidRDefault="006971C4"/>
    <w:p w14:paraId="4F832AA2" w14:textId="1E519EDF" w:rsidR="006971C4" w:rsidRPr="006971C4" w:rsidRDefault="006971C4">
      <w:pPr>
        <w:rPr>
          <w:b/>
          <w:bCs/>
        </w:rPr>
      </w:pPr>
      <w:r w:rsidRPr="006971C4">
        <w:rPr>
          <w:b/>
          <w:bCs/>
        </w:rPr>
        <w:t>Weekly Schedule</w:t>
      </w:r>
    </w:p>
    <w:p w14:paraId="3C489C04" w14:textId="77777777" w:rsidR="006971C4" w:rsidRDefault="006971C4"/>
    <w:p w14:paraId="6A4F7454" w14:textId="2436FA13" w:rsidR="00C57C02" w:rsidRDefault="00C57C02">
      <w:r>
        <w:t xml:space="preserve">Please note that for the weeks we meet, you must complete the assigned readings </w:t>
      </w:r>
      <w:r>
        <w:rPr>
          <w:i/>
          <w:iCs/>
        </w:rPr>
        <w:t xml:space="preserve">before </w:t>
      </w:r>
      <w:r>
        <w:t>the meeting. For the asynchronous weeks, you must begin your annotation work by Wednesday at the latest (</w:t>
      </w:r>
      <w:proofErr w:type="gramStart"/>
      <w:r>
        <w:t>i.e.</w:t>
      </w:r>
      <w:proofErr w:type="gramEnd"/>
      <w:r>
        <w:t xml:space="preserve"> for the asynchronous week of April 9, start annotating no later than Wednesday the 14</w:t>
      </w:r>
      <w:r w:rsidRPr="00C57C02">
        <w:rPr>
          <w:vertAlign w:val="superscript"/>
        </w:rPr>
        <w:t>th</w:t>
      </w:r>
      <w:r>
        <w:t>). All readings will be available on Canvas as PDFs</w:t>
      </w:r>
      <w:r w:rsidR="00BA5D05">
        <w:t>, both in the Files section and organized by week in Modules</w:t>
      </w:r>
      <w:r>
        <w:t xml:space="preserve">. </w:t>
      </w:r>
      <w:r w:rsidR="00E154CD">
        <w:t xml:space="preserve">Note that the amount of reading required is much shorter for the weeks where we meet synchronously on Friday. </w:t>
      </w:r>
    </w:p>
    <w:p w14:paraId="6C2471B5" w14:textId="4D2B2B0C" w:rsidR="00DE011F" w:rsidRDefault="00DE011F"/>
    <w:p w14:paraId="0C1F3804" w14:textId="7DFA1B7D" w:rsidR="00DE011F" w:rsidRDefault="00DE011F">
      <w:r>
        <w:t xml:space="preserve">Our class is participating in a UW pilot of the Hypothes.is LMS app in Canvas, which will help our learning technology staff decide whether to adopt the app system-wide. I am excited about the potential of this tool to deepen your individual reading and create conversation amongst the class about the texts. Please see Assignments in Canvas for instructions on how to approach annotation. </w:t>
      </w:r>
    </w:p>
    <w:p w14:paraId="6C61FAA7" w14:textId="77777777" w:rsidR="00C57C02" w:rsidRDefault="00C57C02"/>
    <w:tbl>
      <w:tblPr>
        <w:tblStyle w:val="TableGrid"/>
        <w:tblW w:w="0" w:type="auto"/>
        <w:tblLook w:val="04A0" w:firstRow="1" w:lastRow="0" w:firstColumn="1" w:lastColumn="0" w:noHBand="0" w:noVBand="1"/>
      </w:tblPr>
      <w:tblGrid>
        <w:gridCol w:w="1383"/>
        <w:gridCol w:w="1237"/>
        <w:gridCol w:w="6730"/>
      </w:tblGrid>
      <w:tr w:rsidR="007B1C2A" w14:paraId="2715C25B" w14:textId="77777777" w:rsidTr="007B1C2A">
        <w:tc>
          <w:tcPr>
            <w:tcW w:w="1165" w:type="dxa"/>
          </w:tcPr>
          <w:p w14:paraId="2ADECCEB" w14:textId="77777777" w:rsidR="007B1C2A" w:rsidRDefault="007B1C2A">
            <w:pPr>
              <w:rPr>
                <w:b/>
                <w:bCs/>
                <w:sz w:val="28"/>
                <w:szCs w:val="28"/>
              </w:rPr>
            </w:pPr>
            <w:r w:rsidRPr="005A2557">
              <w:rPr>
                <w:b/>
                <w:bCs/>
                <w:sz w:val="28"/>
                <w:szCs w:val="28"/>
              </w:rPr>
              <w:t>Date</w:t>
            </w:r>
            <w:r w:rsidR="00634DCB">
              <w:rPr>
                <w:b/>
                <w:bCs/>
                <w:sz w:val="28"/>
                <w:szCs w:val="28"/>
              </w:rPr>
              <w:t xml:space="preserve"> +</w:t>
            </w:r>
          </w:p>
          <w:p w14:paraId="03C0C875" w14:textId="1C0A5527" w:rsidR="00634DCB" w:rsidRPr="005A2557" w:rsidRDefault="00634DCB">
            <w:pPr>
              <w:rPr>
                <w:b/>
                <w:bCs/>
                <w:sz w:val="28"/>
                <w:szCs w:val="28"/>
              </w:rPr>
            </w:pPr>
            <w:r>
              <w:rPr>
                <w:b/>
                <w:bCs/>
                <w:sz w:val="28"/>
                <w:szCs w:val="28"/>
              </w:rPr>
              <w:t>Deadlines</w:t>
            </w:r>
          </w:p>
        </w:tc>
        <w:tc>
          <w:tcPr>
            <w:tcW w:w="1260" w:type="dxa"/>
          </w:tcPr>
          <w:p w14:paraId="15D6E256" w14:textId="7FEDD314" w:rsidR="007B1C2A" w:rsidRPr="005A2557" w:rsidRDefault="007B1C2A">
            <w:pPr>
              <w:rPr>
                <w:b/>
                <w:bCs/>
                <w:sz w:val="28"/>
                <w:szCs w:val="28"/>
              </w:rPr>
            </w:pPr>
            <w:r w:rsidRPr="005A2557">
              <w:rPr>
                <w:b/>
                <w:bCs/>
                <w:sz w:val="28"/>
                <w:szCs w:val="28"/>
              </w:rPr>
              <w:t>Method</w:t>
            </w:r>
          </w:p>
        </w:tc>
        <w:tc>
          <w:tcPr>
            <w:tcW w:w="6925" w:type="dxa"/>
          </w:tcPr>
          <w:p w14:paraId="6FB5A8B3" w14:textId="6A9ABC86" w:rsidR="007B1C2A" w:rsidRPr="005A2557" w:rsidRDefault="007B1C2A">
            <w:pPr>
              <w:rPr>
                <w:b/>
                <w:bCs/>
                <w:sz w:val="28"/>
                <w:szCs w:val="28"/>
              </w:rPr>
            </w:pPr>
            <w:r w:rsidRPr="005A2557">
              <w:rPr>
                <w:b/>
                <w:bCs/>
                <w:sz w:val="28"/>
                <w:szCs w:val="28"/>
              </w:rPr>
              <w:t>Topic and Readings</w:t>
            </w:r>
          </w:p>
        </w:tc>
      </w:tr>
      <w:tr w:rsidR="007B1C2A" w14:paraId="4BF60890" w14:textId="77777777" w:rsidTr="007B1C2A">
        <w:tc>
          <w:tcPr>
            <w:tcW w:w="1165" w:type="dxa"/>
          </w:tcPr>
          <w:p w14:paraId="08CDE31F" w14:textId="4EE0C8D9" w:rsidR="007B1C2A" w:rsidRDefault="007B1C2A">
            <w:r>
              <w:t>April 2</w:t>
            </w:r>
          </w:p>
        </w:tc>
        <w:tc>
          <w:tcPr>
            <w:tcW w:w="1260" w:type="dxa"/>
          </w:tcPr>
          <w:p w14:paraId="5D8EC95E" w14:textId="2A0EB099" w:rsidR="007B1C2A" w:rsidRDefault="007B1C2A">
            <w:r>
              <w:t>SYNC</w:t>
            </w:r>
            <w:r w:rsidR="00803DB4">
              <w:t>, Friday meeting</w:t>
            </w:r>
          </w:p>
        </w:tc>
        <w:tc>
          <w:tcPr>
            <w:tcW w:w="6925" w:type="dxa"/>
          </w:tcPr>
          <w:p w14:paraId="468A560C" w14:textId="7237A164" w:rsidR="005A2557" w:rsidRPr="005A2557" w:rsidRDefault="005A2557">
            <w:pPr>
              <w:rPr>
                <w:b/>
                <w:bCs/>
              </w:rPr>
            </w:pPr>
            <w:r w:rsidRPr="005A2557">
              <w:rPr>
                <w:b/>
                <w:bCs/>
              </w:rPr>
              <w:t xml:space="preserve">Introduction </w:t>
            </w:r>
          </w:p>
          <w:p w14:paraId="4C8D6E86" w14:textId="77777777" w:rsidR="005A2557" w:rsidRDefault="005A2557"/>
          <w:p w14:paraId="71A144F1" w14:textId="4E273D2E" w:rsidR="007B1C2A" w:rsidRDefault="00D93247">
            <w:proofErr w:type="spellStart"/>
            <w:r>
              <w:t>Éva</w:t>
            </w:r>
            <w:proofErr w:type="spellEnd"/>
            <w:r>
              <w:t xml:space="preserve"> </w:t>
            </w:r>
            <w:proofErr w:type="spellStart"/>
            <w:r w:rsidR="00C57C02" w:rsidRPr="00C57C02">
              <w:t>Forgács</w:t>
            </w:r>
            <w:proofErr w:type="spellEnd"/>
            <w:r w:rsidR="00C57C02" w:rsidRPr="00C57C02">
              <w:t xml:space="preserve">, </w:t>
            </w:r>
            <w:r>
              <w:t>“</w:t>
            </w:r>
            <w:r w:rsidR="00C57C02" w:rsidRPr="00C57C02">
              <w:t>How the New Left Invented East-European Art.</w:t>
            </w:r>
            <w:r>
              <w:t>”</w:t>
            </w:r>
            <w:r w:rsidR="00C57C02" w:rsidRPr="00C57C02">
              <w:t xml:space="preserve"> </w:t>
            </w:r>
            <w:proofErr w:type="spellStart"/>
            <w:r w:rsidR="00C57C02" w:rsidRPr="00C57C02">
              <w:rPr>
                <w:i/>
                <w:iCs/>
              </w:rPr>
              <w:t>Centropa</w:t>
            </w:r>
            <w:proofErr w:type="spellEnd"/>
            <w:r w:rsidR="00C57C02" w:rsidRPr="00C57C02">
              <w:rPr>
                <w:i/>
                <w:iCs/>
              </w:rPr>
              <w:t xml:space="preserve"> </w:t>
            </w:r>
            <w:r w:rsidR="00C57C02" w:rsidRPr="00C57C02">
              <w:t>III, no. 2 (May 2003): 93-104.</w:t>
            </w:r>
          </w:p>
          <w:p w14:paraId="45647600" w14:textId="77777777" w:rsidR="00C57C02" w:rsidRDefault="00C57C02"/>
          <w:p w14:paraId="704E2482" w14:textId="2A3F24DB" w:rsidR="00C57C02" w:rsidRDefault="00D93247">
            <w:r>
              <w:t xml:space="preserve">David </w:t>
            </w:r>
            <w:proofErr w:type="spellStart"/>
            <w:r w:rsidR="00C57C02">
              <w:t>Joselit</w:t>
            </w:r>
            <w:proofErr w:type="spellEnd"/>
            <w:r w:rsidR="00C57C02">
              <w:t>,</w:t>
            </w:r>
            <w:r w:rsidR="00AE41B2">
              <w:t xml:space="preserve"> “Synchronization,”</w:t>
            </w:r>
            <w:r w:rsidR="00C57C02">
              <w:t xml:space="preserve"> </w:t>
            </w:r>
            <w:r w:rsidR="00C57C02">
              <w:rPr>
                <w:i/>
                <w:iCs/>
              </w:rPr>
              <w:t>Heritage and Debt: Art in Globalization</w:t>
            </w:r>
            <w:r w:rsidR="00C57C02">
              <w:t xml:space="preserve">. </w:t>
            </w:r>
            <w:r w:rsidR="00B262F7">
              <w:t xml:space="preserve">Cambridge: MIT Press, 2020, </w:t>
            </w:r>
            <w:proofErr w:type="spellStart"/>
            <w:r w:rsidR="00B262F7">
              <w:t>pp.</w:t>
            </w:r>
            <w:proofErr w:type="spellEnd"/>
            <w:r w:rsidR="00B262F7">
              <w:t xml:space="preserve"> 37-84. </w:t>
            </w:r>
          </w:p>
          <w:p w14:paraId="49D00253" w14:textId="6CA77C08" w:rsidR="008F10A6" w:rsidRPr="00C57C02" w:rsidRDefault="008F10A6"/>
        </w:tc>
      </w:tr>
      <w:tr w:rsidR="007B1C2A" w14:paraId="02DC1494" w14:textId="77777777" w:rsidTr="007B1C2A">
        <w:tc>
          <w:tcPr>
            <w:tcW w:w="1165" w:type="dxa"/>
          </w:tcPr>
          <w:p w14:paraId="38B3510F" w14:textId="1D99B40A" w:rsidR="007B1C2A" w:rsidRDefault="007B1C2A">
            <w:r>
              <w:t>April 9</w:t>
            </w:r>
          </w:p>
        </w:tc>
        <w:tc>
          <w:tcPr>
            <w:tcW w:w="1260" w:type="dxa"/>
          </w:tcPr>
          <w:p w14:paraId="523970A2" w14:textId="7852F701" w:rsidR="007B1C2A" w:rsidRDefault="007B1C2A">
            <w:r>
              <w:t>ASYNC</w:t>
            </w:r>
          </w:p>
        </w:tc>
        <w:tc>
          <w:tcPr>
            <w:tcW w:w="6925" w:type="dxa"/>
          </w:tcPr>
          <w:p w14:paraId="7B550059" w14:textId="1FCCC0CB" w:rsidR="007B1C2A" w:rsidRPr="007A691B" w:rsidRDefault="005A2557">
            <w:pPr>
              <w:rPr>
                <w:b/>
                <w:bCs/>
              </w:rPr>
            </w:pPr>
            <w:r w:rsidRPr="007A691B">
              <w:rPr>
                <w:b/>
                <w:bCs/>
              </w:rPr>
              <w:t>Nationalism and Internationalist Modernism</w:t>
            </w:r>
          </w:p>
          <w:p w14:paraId="6FD53E50" w14:textId="0D0CF10F" w:rsidR="005A2557" w:rsidRDefault="005A2557"/>
          <w:p w14:paraId="44888099" w14:textId="4215CD09" w:rsidR="005A2557" w:rsidRPr="005A2557" w:rsidRDefault="00D93247">
            <w:pPr>
              <w:rPr>
                <w:lang w:val="hr-HR"/>
              </w:rPr>
            </w:pPr>
            <w:r>
              <w:t xml:space="preserve">Bojana </w:t>
            </w:r>
            <w:proofErr w:type="spellStart"/>
            <w:r w:rsidR="005A2557">
              <w:t>Videkanić</w:t>
            </w:r>
            <w:proofErr w:type="spellEnd"/>
            <w:r w:rsidR="005A2557">
              <w:t xml:space="preserve">, “Non-Aligned Modernism in the Making: Building Parallel Transnational Culture,” </w:t>
            </w:r>
            <w:r w:rsidR="005A2557">
              <w:rPr>
                <w:i/>
                <w:iCs/>
              </w:rPr>
              <w:t>Non-Aligned Modernism: Socialist Postcolonial Aesthetics in Yugoslavia, 1945-85</w:t>
            </w:r>
            <w:r w:rsidR="005A2557">
              <w:t>. Kingston: McGill-Queens University Press, 2020, pp. 111-175.</w:t>
            </w:r>
          </w:p>
          <w:p w14:paraId="2474617D" w14:textId="77777777" w:rsidR="005A2557" w:rsidRDefault="005A2557"/>
          <w:p w14:paraId="5AFC22BA" w14:textId="09028E32" w:rsidR="005A2557" w:rsidRPr="00023BC4" w:rsidRDefault="00023BC4">
            <w:r>
              <w:t>Chika Okeke-</w:t>
            </w:r>
            <w:proofErr w:type="spellStart"/>
            <w:r>
              <w:t>Agulu</w:t>
            </w:r>
            <w:proofErr w:type="spellEnd"/>
            <w:r>
              <w:t>, “Introduction: Postcolonial Modernism,”</w:t>
            </w:r>
            <w:r w:rsidR="00AE41B2">
              <w:t xml:space="preserve"> </w:t>
            </w:r>
            <w:r>
              <w:rPr>
                <w:i/>
                <w:iCs/>
              </w:rPr>
              <w:t>Postcolonial Modernism: Art and Decolonization in 20</w:t>
            </w:r>
            <w:r w:rsidRPr="00023BC4">
              <w:rPr>
                <w:i/>
                <w:iCs/>
                <w:vertAlign w:val="superscript"/>
              </w:rPr>
              <w:t>th</w:t>
            </w:r>
            <w:r>
              <w:rPr>
                <w:i/>
                <w:iCs/>
              </w:rPr>
              <w:t>-Century Nigeria</w:t>
            </w:r>
            <w:r>
              <w:t xml:space="preserve">. Durham: Duke UP, 2015, pp. 1-19. </w:t>
            </w:r>
          </w:p>
          <w:p w14:paraId="7E1AEEBF" w14:textId="77777777" w:rsidR="00023BC4" w:rsidRDefault="00023BC4"/>
          <w:p w14:paraId="1A55E5FF" w14:textId="6D06CBD7" w:rsidR="008F10A6" w:rsidRPr="006C370C" w:rsidRDefault="008F10A6">
            <w:proofErr w:type="spellStart"/>
            <w:r>
              <w:t>Aniko</w:t>
            </w:r>
            <w:proofErr w:type="spellEnd"/>
            <w:r>
              <w:t xml:space="preserve"> </w:t>
            </w:r>
            <w:proofErr w:type="spellStart"/>
            <w:r>
              <w:t>Szucs</w:t>
            </w:r>
            <w:proofErr w:type="spellEnd"/>
            <w:r>
              <w:t xml:space="preserve">, “The Theatre of Hungarian </w:t>
            </w:r>
            <w:r w:rsidR="006C370C">
              <w:t xml:space="preserve">Indians and Informants,” </w:t>
            </w:r>
            <w:r w:rsidR="006C370C">
              <w:rPr>
                <w:i/>
                <w:iCs/>
              </w:rPr>
              <w:t xml:space="preserve">Performance Research </w:t>
            </w:r>
            <w:r w:rsidR="006C370C">
              <w:t xml:space="preserve">17 3 (2012): 95-101. </w:t>
            </w:r>
          </w:p>
          <w:p w14:paraId="00A2DBEF" w14:textId="6A45FF09" w:rsidR="008F10A6" w:rsidRDefault="008F10A6"/>
        </w:tc>
      </w:tr>
      <w:tr w:rsidR="007B1C2A" w14:paraId="5659CEB0" w14:textId="77777777" w:rsidTr="007B1C2A">
        <w:tc>
          <w:tcPr>
            <w:tcW w:w="1165" w:type="dxa"/>
          </w:tcPr>
          <w:p w14:paraId="500E2072" w14:textId="750A144B" w:rsidR="007B1C2A" w:rsidRDefault="007B1C2A">
            <w:r>
              <w:t>April 16</w:t>
            </w:r>
          </w:p>
        </w:tc>
        <w:tc>
          <w:tcPr>
            <w:tcW w:w="1260" w:type="dxa"/>
          </w:tcPr>
          <w:p w14:paraId="48FFA0F9" w14:textId="2E8FADA7" w:rsidR="007B1C2A" w:rsidRDefault="007B1C2A">
            <w:r>
              <w:t>SYNC</w:t>
            </w:r>
            <w:r w:rsidR="00803DB4">
              <w:t>, Friday meeting</w:t>
            </w:r>
          </w:p>
        </w:tc>
        <w:tc>
          <w:tcPr>
            <w:tcW w:w="6925" w:type="dxa"/>
          </w:tcPr>
          <w:p w14:paraId="4ED832B2" w14:textId="77777777" w:rsidR="007B1C2A" w:rsidRDefault="00803DB4">
            <w:pPr>
              <w:rPr>
                <w:b/>
                <w:bCs/>
              </w:rPr>
            </w:pPr>
            <w:r>
              <w:rPr>
                <w:b/>
                <w:bCs/>
              </w:rPr>
              <w:t>Life Inside/Outside Ideology</w:t>
            </w:r>
          </w:p>
          <w:p w14:paraId="29EC2C52" w14:textId="05622AD2" w:rsidR="00803DB4" w:rsidRDefault="00803DB4">
            <w:pPr>
              <w:rPr>
                <w:b/>
                <w:bCs/>
              </w:rPr>
            </w:pPr>
          </w:p>
          <w:p w14:paraId="22117303" w14:textId="64614529" w:rsidR="00345B2B" w:rsidRDefault="00345B2B">
            <w:proofErr w:type="spellStart"/>
            <w:r>
              <w:t>Slavoj</w:t>
            </w:r>
            <w:proofErr w:type="spellEnd"/>
            <w:r>
              <w:t xml:space="preserve"> </w:t>
            </w:r>
            <w:r>
              <w:rPr>
                <w:lang w:val="hr-HR"/>
              </w:rPr>
              <w:t xml:space="preserve">Žižek, </w:t>
            </w:r>
            <w:r>
              <w:t xml:space="preserve">“Why Are Laibach and NSK Not Fascists?” in </w:t>
            </w:r>
            <w:r>
              <w:rPr>
                <w:i/>
                <w:iCs/>
              </w:rPr>
              <w:t>NSK: From Kapital to Capital</w:t>
            </w:r>
            <w:r>
              <w:t xml:space="preserve">, eds. </w:t>
            </w:r>
            <w:proofErr w:type="spellStart"/>
            <w:r>
              <w:t>Zdenka</w:t>
            </w:r>
            <w:proofErr w:type="spellEnd"/>
            <w:r>
              <w:t xml:space="preserve"> </w:t>
            </w:r>
            <w:proofErr w:type="spellStart"/>
            <w:r>
              <w:t>Badovinac</w:t>
            </w:r>
            <w:proofErr w:type="spellEnd"/>
            <w:r>
              <w:t xml:space="preserve">, Eda </w:t>
            </w:r>
            <w:proofErr w:type="spellStart"/>
            <w:r>
              <w:rPr>
                <w:lang w:val="hr-HR"/>
              </w:rPr>
              <w:t>Čufer</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lastRenderedPageBreak/>
              <w:t>Anthony</w:t>
            </w:r>
            <w:proofErr w:type="spellEnd"/>
            <w:r>
              <w:rPr>
                <w:lang w:val="hr-HR"/>
              </w:rPr>
              <w:t xml:space="preserve"> </w:t>
            </w:r>
            <w:proofErr w:type="spellStart"/>
            <w:r>
              <w:rPr>
                <w:lang w:val="hr-HR"/>
              </w:rPr>
              <w:t>Gardener</w:t>
            </w:r>
            <w:proofErr w:type="spellEnd"/>
            <w:r>
              <w:rPr>
                <w:lang w:val="hr-HR"/>
              </w:rPr>
              <w:t xml:space="preserve">. </w:t>
            </w:r>
            <w:proofErr w:type="spellStart"/>
            <w:r>
              <w:rPr>
                <w:lang w:val="hr-HR"/>
              </w:rPr>
              <w:t>Cambridge</w:t>
            </w:r>
            <w:proofErr w:type="spellEnd"/>
            <w:r>
              <w:rPr>
                <w:lang w:val="hr-HR"/>
              </w:rPr>
              <w:t xml:space="preserve"> </w:t>
            </w:r>
            <w:proofErr w:type="spellStart"/>
            <w:r>
              <w:rPr>
                <w:lang w:val="hr-HR"/>
              </w:rPr>
              <w:t>and</w:t>
            </w:r>
            <w:proofErr w:type="spellEnd"/>
            <w:r>
              <w:rPr>
                <w:lang w:val="hr-HR"/>
              </w:rPr>
              <w:t xml:space="preserve"> Ljubljana: </w:t>
            </w:r>
            <w:r>
              <w:t xml:space="preserve">MIT Press and </w:t>
            </w:r>
            <w:proofErr w:type="spellStart"/>
            <w:r>
              <w:t>Moderna</w:t>
            </w:r>
            <w:proofErr w:type="spellEnd"/>
            <w:r>
              <w:t xml:space="preserve"> </w:t>
            </w:r>
            <w:proofErr w:type="spellStart"/>
            <w:r>
              <w:t>galerija</w:t>
            </w:r>
            <w:proofErr w:type="spellEnd"/>
            <w:r>
              <w:t xml:space="preserve">, 2015, pp. 202-4. </w:t>
            </w:r>
          </w:p>
          <w:p w14:paraId="02A725C4" w14:textId="61608AF2" w:rsidR="00345B2B" w:rsidRDefault="00345B2B">
            <w:pPr>
              <w:rPr>
                <w:i/>
                <w:iCs/>
              </w:rPr>
            </w:pPr>
          </w:p>
          <w:p w14:paraId="4FBF4F57" w14:textId="0B077E20" w:rsidR="00345B2B" w:rsidRPr="00345B2B" w:rsidRDefault="00345B2B">
            <w:proofErr w:type="spellStart"/>
            <w:r>
              <w:t>András</w:t>
            </w:r>
            <w:proofErr w:type="spellEnd"/>
            <w:r>
              <w:t xml:space="preserve"> </w:t>
            </w:r>
            <w:proofErr w:type="spellStart"/>
            <w:r>
              <w:t>Forgách</w:t>
            </w:r>
            <w:proofErr w:type="spellEnd"/>
            <w:r>
              <w:t xml:space="preserve">, </w:t>
            </w:r>
            <w:r>
              <w:rPr>
                <w:i/>
                <w:iCs/>
              </w:rPr>
              <w:t>No Live Files Remain</w:t>
            </w:r>
            <w:r>
              <w:t xml:space="preserve">, </w:t>
            </w:r>
            <w:r w:rsidR="002E7530">
              <w:t xml:space="preserve">trans. Paul </w:t>
            </w:r>
            <w:proofErr w:type="spellStart"/>
            <w:r w:rsidR="002E7530">
              <w:t>Olchváry</w:t>
            </w:r>
            <w:proofErr w:type="spellEnd"/>
            <w:r w:rsidR="002E7530">
              <w:t xml:space="preserve">. London: Scribner, 2018 [1997]. </w:t>
            </w:r>
          </w:p>
          <w:p w14:paraId="11CF3CBD" w14:textId="571DB66C" w:rsidR="00803DB4" w:rsidRPr="00803DB4" w:rsidRDefault="00803DB4"/>
        </w:tc>
      </w:tr>
      <w:tr w:rsidR="007B1C2A" w14:paraId="302E3F4D" w14:textId="77777777" w:rsidTr="007B1C2A">
        <w:tc>
          <w:tcPr>
            <w:tcW w:w="1165" w:type="dxa"/>
          </w:tcPr>
          <w:p w14:paraId="45F692D9" w14:textId="77777777" w:rsidR="007B1C2A" w:rsidRDefault="007B1C2A">
            <w:r>
              <w:lastRenderedPageBreak/>
              <w:t>April 23</w:t>
            </w:r>
          </w:p>
          <w:p w14:paraId="1DE4158E" w14:textId="77777777" w:rsidR="00634DCB" w:rsidRDefault="00634DCB"/>
          <w:p w14:paraId="4E5B2056" w14:textId="5A02F0A3" w:rsidR="00634DCB" w:rsidRDefault="00634DCB">
            <w:r>
              <w:t>Option B submit 1-page proposal by April 22</w:t>
            </w:r>
            <w:r w:rsidRPr="00634DCB">
              <w:rPr>
                <w:vertAlign w:val="superscript"/>
              </w:rPr>
              <w:t>nd</w:t>
            </w:r>
            <w:r>
              <w:t xml:space="preserve"> at midnight</w:t>
            </w:r>
          </w:p>
        </w:tc>
        <w:tc>
          <w:tcPr>
            <w:tcW w:w="1260" w:type="dxa"/>
          </w:tcPr>
          <w:p w14:paraId="18F45A63" w14:textId="08EE57BD" w:rsidR="007B1C2A" w:rsidRDefault="007B1C2A">
            <w:r>
              <w:t>ASYNC</w:t>
            </w:r>
          </w:p>
        </w:tc>
        <w:tc>
          <w:tcPr>
            <w:tcW w:w="6925" w:type="dxa"/>
          </w:tcPr>
          <w:p w14:paraId="283299E6" w14:textId="211BF77E" w:rsidR="007B1C2A" w:rsidRPr="00E6196C" w:rsidRDefault="00E6196C">
            <w:pPr>
              <w:rPr>
                <w:b/>
                <w:bCs/>
              </w:rPr>
            </w:pPr>
            <w:r>
              <w:rPr>
                <w:b/>
                <w:bCs/>
              </w:rPr>
              <w:t>Alternatives and Undergrounds</w:t>
            </w:r>
          </w:p>
          <w:p w14:paraId="11D0D013" w14:textId="12CB2AC4" w:rsidR="00E6196C" w:rsidRDefault="00E6196C"/>
          <w:p w14:paraId="157B9C37" w14:textId="22C9AA16" w:rsidR="00E6196C" w:rsidRDefault="00E6196C" w:rsidP="00E6196C">
            <w:r>
              <w:t xml:space="preserve">Klara Kemp-Welch, “Introduction” and “Reticence,” </w:t>
            </w:r>
            <w:proofErr w:type="spellStart"/>
            <w:r w:rsidRPr="00E6196C">
              <w:rPr>
                <w:i/>
                <w:iCs/>
              </w:rPr>
              <w:t>Antipolitics</w:t>
            </w:r>
            <w:proofErr w:type="spellEnd"/>
            <w:r w:rsidRPr="00E6196C">
              <w:rPr>
                <w:i/>
                <w:iCs/>
              </w:rPr>
              <w:t xml:space="preserve"> in Central European Art: Reticence as Dissidence under Post-Totalitarian Rule 1956-1989.</w:t>
            </w:r>
            <w:r w:rsidRPr="00E6196C">
              <w:t xml:space="preserve"> London: I.B. Taurus, 2014</w:t>
            </w:r>
            <w:r>
              <w:t xml:space="preserve">, pp. 1-11 and 185-220. </w:t>
            </w:r>
          </w:p>
          <w:p w14:paraId="2D8EE356" w14:textId="5DB42FCF" w:rsidR="007D73B4" w:rsidRDefault="007D73B4" w:rsidP="00E6196C"/>
          <w:p w14:paraId="23640CC2" w14:textId="62F238F3" w:rsidR="007D73B4" w:rsidRDefault="007D73B4" w:rsidP="007D73B4">
            <w:proofErr w:type="spellStart"/>
            <w:r>
              <w:t>Ksenya</w:t>
            </w:r>
            <w:proofErr w:type="spellEnd"/>
            <w:r>
              <w:t xml:space="preserve"> </w:t>
            </w:r>
            <w:proofErr w:type="spellStart"/>
            <w:r>
              <w:t>Gurshtein</w:t>
            </w:r>
            <w:proofErr w:type="spellEnd"/>
            <w:r>
              <w:t>, “</w:t>
            </w:r>
            <w:r w:rsidRPr="007D73B4">
              <w:t xml:space="preserve">Dissecting Dissent and Its Discontents [Review of Klara Kemp-Welch's </w:t>
            </w:r>
            <w:proofErr w:type="spellStart"/>
            <w:r w:rsidRPr="007D73B4">
              <w:t>Antipolitics</w:t>
            </w:r>
            <w:proofErr w:type="spellEnd"/>
            <w:r w:rsidRPr="007D73B4">
              <w:t xml:space="preserve"> in Central European Art].</w:t>
            </w:r>
            <w:r>
              <w:t>”</w:t>
            </w:r>
            <w:r w:rsidRPr="007D73B4">
              <w:t xml:space="preserve"> </w:t>
            </w:r>
            <w:proofErr w:type="spellStart"/>
            <w:r w:rsidRPr="007D73B4">
              <w:rPr>
                <w:i/>
                <w:iCs/>
              </w:rPr>
              <w:t>ArtMargins</w:t>
            </w:r>
            <w:proofErr w:type="spellEnd"/>
            <w:r w:rsidRPr="007D73B4">
              <w:rPr>
                <w:i/>
                <w:iCs/>
              </w:rPr>
              <w:t xml:space="preserve"> </w:t>
            </w:r>
            <w:r w:rsidRPr="007D73B4">
              <w:t>5, no. 1 (2016): 96-107.</w:t>
            </w:r>
          </w:p>
          <w:p w14:paraId="017FB885" w14:textId="1BD66B8F" w:rsidR="003E052E" w:rsidRDefault="003E052E" w:rsidP="007D73B4"/>
          <w:p w14:paraId="17346E15" w14:textId="0F22B545" w:rsidR="00E6196C" w:rsidRDefault="003E052E">
            <w:r>
              <w:t xml:space="preserve">Alexei </w:t>
            </w:r>
            <w:proofErr w:type="spellStart"/>
            <w:r>
              <w:t>Yurchak</w:t>
            </w:r>
            <w:proofErr w:type="spellEnd"/>
            <w:r>
              <w:t xml:space="preserve">, “Ideology Inside Out: Ethics and Poetics,” </w:t>
            </w:r>
            <w:r>
              <w:rPr>
                <w:i/>
                <w:iCs/>
              </w:rPr>
              <w:t>Everything Was Forever, Until It Was No More: The Last Soviet Generation</w:t>
            </w:r>
            <w:r>
              <w:t xml:space="preserve">. Princeton: Princeton UP, 2005, pp. 77-125. </w:t>
            </w:r>
          </w:p>
          <w:p w14:paraId="713C44F4" w14:textId="3846DE74" w:rsidR="00E6196C" w:rsidRDefault="00E6196C"/>
        </w:tc>
      </w:tr>
      <w:tr w:rsidR="007B1C2A" w14:paraId="739B79F0" w14:textId="77777777" w:rsidTr="007B1C2A">
        <w:tc>
          <w:tcPr>
            <w:tcW w:w="1165" w:type="dxa"/>
          </w:tcPr>
          <w:p w14:paraId="40CBDC4D" w14:textId="77777777" w:rsidR="007B1C2A" w:rsidRDefault="007B1C2A">
            <w:r>
              <w:t>April 30</w:t>
            </w:r>
          </w:p>
          <w:p w14:paraId="15CB8088" w14:textId="77777777" w:rsidR="00634DCB" w:rsidRDefault="00634DCB"/>
          <w:p w14:paraId="6AA14B5F" w14:textId="1250D9D8" w:rsidR="00634DCB" w:rsidRDefault="00634DCB">
            <w:r>
              <w:t>Option A submit 1</w:t>
            </w:r>
            <w:r w:rsidRPr="00634DCB">
              <w:rPr>
                <w:vertAlign w:val="superscript"/>
              </w:rPr>
              <w:t>st</w:t>
            </w:r>
            <w:r>
              <w:t xml:space="preserve"> response paper by April 29</w:t>
            </w:r>
            <w:r w:rsidRPr="00634DCB">
              <w:rPr>
                <w:vertAlign w:val="superscript"/>
              </w:rPr>
              <w:t>th</w:t>
            </w:r>
            <w:r>
              <w:t xml:space="preserve"> at midnight</w:t>
            </w:r>
          </w:p>
          <w:p w14:paraId="793F2DC8" w14:textId="07D3FD19" w:rsidR="00634DCB" w:rsidRDefault="00634DCB"/>
        </w:tc>
        <w:tc>
          <w:tcPr>
            <w:tcW w:w="1260" w:type="dxa"/>
          </w:tcPr>
          <w:p w14:paraId="07CC566F" w14:textId="6BDEAD22" w:rsidR="007B1C2A" w:rsidRDefault="007B1C2A">
            <w:r>
              <w:t>SYNC</w:t>
            </w:r>
          </w:p>
        </w:tc>
        <w:tc>
          <w:tcPr>
            <w:tcW w:w="6925" w:type="dxa"/>
          </w:tcPr>
          <w:p w14:paraId="5D69FB78" w14:textId="77777777" w:rsidR="007B1C2A" w:rsidRPr="00991D8D" w:rsidRDefault="00991D8D">
            <w:pPr>
              <w:rPr>
                <w:b/>
                <w:bCs/>
              </w:rPr>
            </w:pPr>
            <w:r w:rsidRPr="00991D8D">
              <w:rPr>
                <w:b/>
                <w:bCs/>
              </w:rPr>
              <w:t>Conceptualisms</w:t>
            </w:r>
          </w:p>
          <w:p w14:paraId="663453D2" w14:textId="008081F9" w:rsidR="00991D8D" w:rsidRDefault="00991D8D"/>
          <w:p w14:paraId="5D06E966" w14:textId="0A8E1DE7" w:rsidR="00991D8D" w:rsidRPr="001A3E9D" w:rsidRDefault="001A3E9D">
            <w:r>
              <w:t xml:space="preserve">Mladen </w:t>
            </w:r>
            <w:r>
              <w:rPr>
                <w:lang w:val="hr-HR"/>
              </w:rPr>
              <w:t xml:space="preserve">Stilinović, </w:t>
            </w:r>
            <w:proofErr w:type="spellStart"/>
            <w:r>
              <w:rPr>
                <w:i/>
                <w:iCs/>
                <w:lang w:val="hr-HR"/>
              </w:rPr>
              <w:t>Texts</w:t>
            </w:r>
            <w:proofErr w:type="spellEnd"/>
            <w:r>
              <w:rPr>
                <w:lang w:val="hr-HR"/>
              </w:rPr>
              <w:t xml:space="preserve">. </w:t>
            </w:r>
            <w:r>
              <w:t xml:space="preserve">Zagreb: self-published, 2011. </w:t>
            </w:r>
          </w:p>
          <w:p w14:paraId="451C8EB4" w14:textId="45E1101F" w:rsidR="00991D8D" w:rsidRDefault="00991D8D"/>
        </w:tc>
      </w:tr>
      <w:tr w:rsidR="007B1C2A" w14:paraId="0ACDFA0C" w14:textId="77777777" w:rsidTr="007B1C2A">
        <w:tc>
          <w:tcPr>
            <w:tcW w:w="1165" w:type="dxa"/>
          </w:tcPr>
          <w:p w14:paraId="2EA1D144" w14:textId="150377F0" w:rsidR="007B1C2A" w:rsidRDefault="007B1C2A">
            <w:r>
              <w:t>May 7</w:t>
            </w:r>
          </w:p>
        </w:tc>
        <w:tc>
          <w:tcPr>
            <w:tcW w:w="1260" w:type="dxa"/>
          </w:tcPr>
          <w:p w14:paraId="10E5F8E5" w14:textId="350AD92B" w:rsidR="007B1C2A" w:rsidRDefault="007B1C2A">
            <w:r>
              <w:t>ASYNC</w:t>
            </w:r>
          </w:p>
        </w:tc>
        <w:tc>
          <w:tcPr>
            <w:tcW w:w="6925" w:type="dxa"/>
          </w:tcPr>
          <w:p w14:paraId="4D60A018" w14:textId="77777777" w:rsidR="007B1C2A" w:rsidRDefault="009E4839">
            <w:pPr>
              <w:rPr>
                <w:b/>
                <w:bCs/>
              </w:rPr>
            </w:pPr>
            <w:r>
              <w:rPr>
                <w:b/>
                <w:bCs/>
              </w:rPr>
              <w:t>Encounters with Dominant Discourse – Comparative Perspectives</w:t>
            </w:r>
          </w:p>
          <w:p w14:paraId="5B74E20C" w14:textId="77777777" w:rsidR="009E4839" w:rsidRDefault="009E4839">
            <w:pPr>
              <w:rPr>
                <w:b/>
                <w:bCs/>
              </w:rPr>
            </w:pPr>
          </w:p>
          <w:p w14:paraId="140C6903" w14:textId="4774F90F" w:rsidR="006159DD" w:rsidRPr="006159DD" w:rsidRDefault="006159DD">
            <w:pPr>
              <w:rPr>
                <w:i/>
                <w:iCs/>
              </w:rPr>
            </w:pPr>
            <w:r>
              <w:t xml:space="preserve">Piotr Piotrowski, “The Geography and History of Art in Eastern Europe,” </w:t>
            </w:r>
            <w:r>
              <w:rPr>
                <w:i/>
                <w:iCs/>
              </w:rPr>
              <w:t>In the Shadow of Yalta: Art and the Avant-garde in Eastern Europe, 1945-</w:t>
            </w:r>
            <w:r w:rsidRPr="006159DD">
              <w:t>1989</w:t>
            </w:r>
            <w:r>
              <w:t xml:space="preserve">. </w:t>
            </w:r>
            <w:r w:rsidRPr="006159DD">
              <w:t>Trans</w:t>
            </w:r>
            <w:r>
              <w:t xml:space="preserve">. Anna </w:t>
            </w:r>
            <w:proofErr w:type="spellStart"/>
            <w:r>
              <w:t>Brzyski</w:t>
            </w:r>
            <w:proofErr w:type="spellEnd"/>
            <w:r>
              <w:t xml:space="preserve">. London: </w:t>
            </w:r>
            <w:proofErr w:type="spellStart"/>
            <w:r>
              <w:t>Reaktion</w:t>
            </w:r>
            <w:proofErr w:type="spellEnd"/>
            <w:r>
              <w:t xml:space="preserve"> Books, 2009, pp. 11-30. </w:t>
            </w:r>
          </w:p>
          <w:p w14:paraId="1AD55143" w14:textId="77777777" w:rsidR="006159DD" w:rsidRDefault="006159DD"/>
          <w:p w14:paraId="2F2BA7CD" w14:textId="5C8CA651" w:rsidR="009E4839" w:rsidRDefault="009E4839">
            <w:r w:rsidRPr="009E4839">
              <w:t xml:space="preserve">Piotr </w:t>
            </w:r>
            <w:r w:rsidRPr="009E4839">
              <w:t xml:space="preserve">Piotrowski, </w:t>
            </w:r>
            <w:r w:rsidRPr="009E4839">
              <w:t>“</w:t>
            </w:r>
            <w:r w:rsidRPr="009E4839">
              <w:t>How to Write a History of Central‐East European Art?</w:t>
            </w:r>
            <w:r w:rsidRPr="009E4839">
              <w:t>”</w:t>
            </w:r>
            <w:r w:rsidRPr="009E4839">
              <w:t xml:space="preserve"> </w:t>
            </w:r>
            <w:r w:rsidRPr="009E4839">
              <w:rPr>
                <w:i/>
                <w:iCs/>
              </w:rPr>
              <w:t xml:space="preserve">Third Text </w:t>
            </w:r>
            <w:r w:rsidRPr="009E4839">
              <w:t>23, no. 1 (January 2009): 5-14.</w:t>
            </w:r>
          </w:p>
          <w:p w14:paraId="49EE487D" w14:textId="77777777" w:rsidR="009E4839" w:rsidRDefault="009E4839"/>
          <w:p w14:paraId="11B32DD9" w14:textId="77777777" w:rsidR="009E4839" w:rsidRDefault="009E4839">
            <w:r>
              <w:t xml:space="preserve">Mari-Carmen Ramirez, “Beyond ‘The Fantastic’: Framing Identity in U.S. Exhibitions of Latin American Art,” </w:t>
            </w:r>
            <w:r>
              <w:rPr>
                <w:i/>
                <w:iCs/>
              </w:rPr>
              <w:t xml:space="preserve">Art Journal </w:t>
            </w:r>
            <w:r>
              <w:t xml:space="preserve">51 4 (Winter 1992): 60-68. </w:t>
            </w:r>
          </w:p>
          <w:p w14:paraId="704D65EC" w14:textId="77777777" w:rsidR="009E4839" w:rsidRDefault="009E4839"/>
          <w:p w14:paraId="644C04E5" w14:textId="57DA6E93" w:rsidR="009E4839" w:rsidRDefault="009E4839" w:rsidP="009E4839">
            <w:r w:rsidRPr="009E4839">
              <w:lastRenderedPageBreak/>
              <w:t xml:space="preserve">Copeland, Huey, and Thompson, Krista. </w:t>
            </w:r>
            <w:bookmarkStart w:id="0" w:name="_Hlk62738664"/>
            <w:r w:rsidRPr="009E4839">
              <w:t>"</w:t>
            </w:r>
            <w:bookmarkEnd w:id="0"/>
            <w:proofErr w:type="spellStart"/>
            <w:r w:rsidRPr="009E4839">
              <w:t>Afrotropes</w:t>
            </w:r>
            <w:proofErr w:type="spellEnd"/>
            <w:r w:rsidRPr="009E4839">
              <w:t>: A User's Guide." </w:t>
            </w:r>
            <w:r w:rsidRPr="009E4839">
              <w:rPr>
                <w:i/>
                <w:iCs/>
              </w:rPr>
              <w:t xml:space="preserve">Art Journal </w:t>
            </w:r>
            <w:r w:rsidRPr="009E4839">
              <w:t>76, no. 3-4 (2017): 7-9.</w:t>
            </w:r>
            <w:r>
              <w:t xml:space="preserve"> Online at </w:t>
            </w:r>
            <w:hyperlink r:id="rId7" w:history="1">
              <w:r w:rsidRPr="003978DE">
                <w:rPr>
                  <w:rStyle w:val="Hyperlink"/>
                </w:rPr>
                <w:t>http://artjournal.collegeart.org/?p=9755</w:t>
              </w:r>
            </w:hyperlink>
          </w:p>
          <w:p w14:paraId="1D8E81DA" w14:textId="71D0F25D" w:rsidR="009E4839" w:rsidRDefault="009E4839" w:rsidP="009E4839"/>
          <w:p w14:paraId="77EEC860" w14:textId="569E3AF7" w:rsidR="009E4839" w:rsidRPr="009E4839" w:rsidRDefault="009E4839" w:rsidP="009E4839">
            <w:r>
              <w:t xml:space="preserve">Leah </w:t>
            </w:r>
            <w:proofErr w:type="spellStart"/>
            <w:r>
              <w:t>Dickerman</w:t>
            </w:r>
            <w:proofErr w:type="spellEnd"/>
            <w:r>
              <w:t xml:space="preserve"> et. al., “</w:t>
            </w:r>
            <w:proofErr w:type="spellStart"/>
            <w:r>
              <w:t>Afrotropes</w:t>
            </w:r>
            <w:proofErr w:type="spellEnd"/>
            <w:r>
              <w:t xml:space="preserve">: A Conversation with Huey Copeland and Krista Thompson,” </w:t>
            </w:r>
            <w:r>
              <w:rPr>
                <w:i/>
                <w:iCs/>
              </w:rPr>
              <w:t xml:space="preserve">October </w:t>
            </w:r>
            <w:r>
              <w:t xml:space="preserve">162 (Fall 2017): 3-18. </w:t>
            </w:r>
          </w:p>
          <w:p w14:paraId="618A1ED7" w14:textId="21F287B8" w:rsidR="009E4839" w:rsidRPr="009E4839" w:rsidRDefault="009E4839"/>
        </w:tc>
      </w:tr>
      <w:tr w:rsidR="007B1C2A" w14:paraId="3215A79A" w14:textId="77777777" w:rsidTr="007B1C2A">
        <w:tc>
          <w:tcPr>
            <w:tcW w:w="1165" w:type="dxa"/>
          </w:tcPr>
          <w:p w14:paraId="1AFE4CF8" w14:textId="74DEC80F" w:rsidR="007B1C2A" w:rsidRDefault="007B1C2A">
            <w:r>
              <w:lastRenderedPageBreak/>
              <w:t>May 14</w:t>
            </w:r>
          </w:p>
        </w:tc>
        <w:tc>
          <w:tcPr>
            <w:tcW w:w="1260" w:type="dxa"/>
          </w:tcPr>
          <w:p w14:paraId="28DB78D2" w14:textId="7CB7A6B6" w:rsidR="007B1C2A" w:rsidRDefault="007B1C2A">
            <w:r>
              <w:t>SYNC</w:t>
            </w:r>
          </w:p>
        </w:tc>
        <w:tc>
          <w:tcPr>
            <w:tcW w:w="6925" w:type="dxa"/>
          </w:tcPr>
          <w:p w14:paraId="61E7C681" w14:textId="77777777" w:rsidR="007B1C2A" w:rsidRDefault="009E4839">
            <w:pPr>
              <w:rPr>
                <w:b/>
                <w:bCs/>
              </w:rPr>
            </w:pPr>
            <w:r>
              <w:rPr>
                <w:b/>
                <w:bCs/>
              </w:rPr>
              <w:t>Body Art</w:t>
            </w:r>
          </w:p>
          <w:p w14:paraId="734DB1A1" w14:textId="77777777" w:rsidR="009E4839" w:rsidRDefault="009E4839">
            <w:pPr>
              <w:rPr>
                <w:b/>
                <w:bCs/>
              </w:rPr>
            </w:pPr>
          </w:p>
          <w:p w14:paraId="5132D1E5" w14:textId="77777777" w:rsidR="009E4839" w:rsidRDefault="009E4839">
            <w:proofErr w:type="spellStart"/>
            <w:r>
              <w:t>Zdenka</w:t>
            </w:r>
            <w:proofErr w:type="spellEnd"/>
            <w:r>
              <w:t xml:space="preserve"> </w:t>
            </w:r>
            <w:proofErr w:type="spellStart"/>
            <w:r>
              <w:t>Badkovinac</w:t>
            </w:r>
            <w:proofErr w:type="spellEnd"/>
            <w:r>
              <w:t xml:space="preserve">, </w:t>
            </w:r>
            <w:r w:rsidR="00183B2B">
              <w:t xml:space="preserve">introduction to </w:t>
            </w:r>
            <w:r w:rsidR="00183B2B">
              <w:rPr>
                <w:i/>
                <w:iCs/>
              </w:rPr>
              <w:t>Body and the East</w:t>
            </w:r>
            <w:r w:rsidR="00183B2B">
              <w:t xml:space="preserve">. Ljubljana: </w:t>
            </w:r>
            <w:proofErr w:type="spellStart"/>
            <w:r w:rsidR="00183B2B">
              <w:t>Moderna</w:t>
            </w:r>
            <w:proofErr w:type="spellEnd"/>
            <w:r w:rsidR="00183B2B">
              <w:t xml:space="preserve"> </w:t>
            </w:r>
            <w:proofErr w:type="spellStart"/>
            <w:r w:rsidR="00183B2B">
              <w:t>galerija</w:t>
            </w:r>
            <w:proofErr w:type="spellEnd"/>
            <w:r w:rsidR="00183B2B">
              <w:t xml:space="preserve">, 1998, pp. 9-18. </w:t>
            </w:r>
          </w:p>
          <w:p w14:paraId="06B6E902" w14:textId="51A20F53" w:rsidR="00183B2B" w:rsidRPr="00183B2B" w:rsidRDefault="00183B2B"/>
        </w:tc>
      </w:tr>
      <w:tr w:rsidR="007B1C2A" w14:paraId="2E1305F6" w14:textId="77777777" w:rsidTr="007B1C2A">
        <w:tc>
          <w:tcPr>
            <w:tcW w:w="1165" w:type="dxa"/>
          </w:tcPr>
          <w:p w14:paraId="03CB896E" w14:textId="079466CD" w:rsidR="007B1C2A" w:rsidRDefault="007B1C2A">
            <w:r>
              <w:t>May 21</w:t>
            </w:r>
          </w:p>
        </w:tc>
        <w:tc>
          <w:tcPr>
            <w:tcW w:w="1260" w:type="dxa"/>
          </w:tcPr>
          <w:p w14:paraId="3263E334" w14:textId="60CC35F6" w:rsidR="007B1C2A" w:rsidRDefault="007B1C2A">
            <w:r>
              <w:t>ASYNC</w:t>
            </w:r>
          </w:p>
        </w:tc>
        <w:tc>
          <w:tcPr>
            <w:tcW w:w="6925" w:type="dxa"/>
          </w:tcPr>
          <w:p w14:paraId="3271DDCD" w14:textId="6A34B5E4" w:rsidR="007B1C2A" w:rsidRPr="00CE5E5C" w:rsidRDefault="00183B2B">
            <w:pPr>
              <w:rPr>
                <w:b/>
                <w:bCs/>
              </w:rPr>
            </w:pPr>
            <w:r w:rsidRPr="00CE5E5C">
              <w:rPr>
                <w:b/>
                <w:bCs/>
              </w:rPr>
              <w:t xml:space="preserve">Architecture and Urbanism </w:t>
            </w:r>
          </w:p>
          <w:p w14:paraId="75DC26CD" w14:textId="77777777" w:rsidR="00183B2B" w:rsidRDefault="00183B2B"/>
          <w:p w14:paraId="64B33BD6" w14:textId="2214F3D8" w:rsidR="0038581B" w:rsidRDefault="0038581B">
            <w:r>
              <w:t xml:space="preserve">Christina </w:t>
            </w:r>
            <w:proofErr w:type="spellStart"/>
            <w:r>
              <w:t>Schwenkel</w:t>
            </w:r>
            <w:proofErr w:type="spellEnd"/>
            <w:r>
              <w:t xml:space="preserve">, </w:t>
            </w:r>
            <w:r>
              <w:rPr>
                <w:i/>
                <w:iCs/>
              </w:rPr>
              <w:t>Building Socialism: The Afterlife of East German Architecture in Urban Vietnam</w:t>
            </w:r>
            <w:r>
              <w:t>. Durham: Duke UP, 2020</w:t>
            </w:r>
            <w:r w:rsidR="009F00FD">
              <w:t>, pp. 106-128,</w:t>
            </w:r>
            <w:r w:rsidR="007F0A84">
              <w:t xml:space="preserve"> </w:t>
            </w:r>
            <w:r w:rsidR="009F00FD">
              <w:t>131-58.</w:t>
            </w:r>
          </w:p>
          <w:p w14:paraId="39CEE635" w14:textId="516243BD" w:rsidR="009F00FD" w:rsidRDefault="009F00FD"/>
          <w:tbl>
            <w:tblPr>
              <w:tblW w:w="5790" w:type="dxa"/>
              <w:shd w:val="clear" w:color="auto" w:fill="FFFFFF"/>
              <w:tblCellMar>
                <w:top w:w="15" w:type="dxa"/>
                <w:left w:w="15" w:type="dxa"/>
                <w:bottom w:w="15" w:type="dxa"/>
                <w:right w:w="15" w:type="dxa"/>
              </w:tblCellMar>
              <w:tblLook w:val="04A0" w:firstRow="1" w:lastRow="0" w:firstColumn="1" w:lastColumn="0" w:noHBand="0" w:noVBand="1"/>
            </w:tblPr>
            <w:tblGrid>
              <w:gridCol w:w="5790"/>
            </w:tblGrid>
            <w:tr w:rsidR="009F00FD" w:rsidRPr="009F00FD" w14:paraId="76979043" w14:textId="77777777" w:rsidTr="009F00FD">
              <w:tc>
                <w:tcPr>
                  <w:tcW w:w="0" w:type="auto"/>
                  <w:shd w:val="clear" w:color="auto" w:fill="FFFFFF"/>
                  <w:tcMar>
                    <w:top w:w="0" w:type="dxa"/>
                    <w:left w:w="45" w:type="dxa"/>
                    <w:bottom w:w="0" w:type="dxa"/>
                    <w:right w:w="0" w:type="dxa"/>
                  </w:tcMar>
                  <w:hideMark/>
                </w:tcPr>
                <w:p w14:paraId="7A610206" w14:textId="67E25679" w:rsidR="009F00FD" w:rsidRPr="009F00FD" w:rsidRDefault="009F00FD" w:rsidP="009F00FD">
                  <w:pPr>
                    <w:rPr>
                      <w:b/>
                      <w:bCs/>
                      <w:i/>
                      <w:iCs/>
                    </w:rPr>
                  </w:pPr>
                  <w:proofErr w:type="spellStart"/>
                  <w:r w:rsidRPr="009F00FD">
                    <w:t>Łukasz</w:t>
                  </w:r>
                  <w:proofErr w:type="spellEnd"/>
                  <w:r w:rsidRPr="009F00FD">
                    <w:t xml:space="preserve"> Stanek</w:t>
                  </w:r>
                  <w:r w:rsidRPr="009F00FD">
                    <w:t xml:space="preserve">, </w:t>
                  </w:r>
                  <w:r w:rsidRPr="009F00FD">
                    <w:rPr>
                      <w:i/>
                      <w:iCs/>
                    </w:rPr>
                    <w:t>Architecture in Global Socialism: Eastern Europe, West Africa, and the Middle East in the Cold War</w:t>
                  </w:r>
                  <w:r w:rsidRPr="009F00FD">
                    <w:t>. Princeton: Princeton UP, 2020, pages TBA.</w:t>
                  </w:r>
                </w:p>
              </w:tc>
            </w:tr>
          </w:tbl>
          <w:p w14:paraId="41CD8440" w14:textId="77777777" w:rsidR="009F00FD" w:rsidRPr="0038581B" w:rsidRDefault="009F00FD"/>
          <w:p w14:paraId="3D101C1B" w14:textId="19C99058" w:rsidR="0038581B" w:rsidRDefault="0038581B"/>
        </w:tc>
      </w:tr>
      <w:tr w:rsidR="007B1C2A" w14:paraId="77BC43A8" w14:textId="77777777" w:rsidTr="007B1C2A">
        <w:tc>
          <w:tcPr>
            <w:tcW w:w="1165" w:type="dxa"/>
          </w:tcPr>
          <w:p w14:paraId="2AD87327" w14:textId="7012C6C6" w:rsidR="007B1C2A" w:rsidRDefault="007B1C2A">
            <w:r>
              <w:t>May 28</w:t>
            </w:r>
          </w:p>
        </w:tc>
        <w:tc>
          <w:tcPr>
            <w:tcW w:w="1260" w:type="dxa"/>
          </w:tcPr>
          <w:p w14:paraId="4CC66F44" w14:textId="16B4E8F9" w:rsidR="007B1C2A" w:rsidRDefault="007B1C2A">
            <w:r>
              <w:t>SYNCH</w:t>
            </w:r>
          </w:p>
        </w:tc>
        <w:tc>
          <w:tcPr>
            <w:tcW w:w="6925" w:type="dxa"/>
          </w:tcPr>
          <w:p w14:paraId="510C1DCE" w14:textId="71830E61" w:rsidR="007B1C2A" w:rsidRPr="00183B2B" w:rsidRDefault="00183B2B">
            <w:pPr>
              <w:rPr>
                <w:b/>
                <w:bCs/>
              </w:rPr>
            </w:pPr>
            <w:r w:rsidRPr="00183B2B">
              <w:rPr>
                <w:b/>
                <w:bCs/>
              </w:rPr>
              <w:t>Politicized Art of the Post-Socialist Period</w:t>
            </w:r>
          </w:p>
          <w:p w14:paraId="5E06BFEB" w14:textId="43FD7230" w:rsidR="00183B2B" w:rsidRPr="00183B2B" w:rsidRDefault="00183B2B"/>
          <w:p w14:paraId="6D1270C7" w14:textId="60A3DB19" w:rsidR="00183B2B" w:rsidRPr="00183B2B" w:rsidRDefault="00183B2B">
            <w:r>
              <w:rPr>
                <w:color w:val="000000"/>
              </w:rPr>
              <w:t xml:space="preserve">Anya </w:t>
            </w:r>
            <w:r w:rsidRPr="00183B2B">
              <w:rPr>
                <w:color w:val="000000"/>
              </w:rPr>
              <w:t xml:space="preserve">Bernstein, </w:t>
            </w:r>
            <w:r>
              <w:rPr>
                <w:color w:val="000000"/>
              </w:rPr>
              <w:t>“</w:t>
            </w:r>
            <w:r w:rsidRPr="00183B2B">
              <w:rPr>
                <w:color w:val="000000"/>
              </w:rPr>
              <w:t>An Inadvertent Sacrifice: Body Politics and Sovereign Power in the Pussy Riot Affair.</w:t>
            </w:r>
            <w:r>
              <w:rPr>
                <w:color w:val="000000"/>
              </w:rPr>
              <w:t>”</w:t>
            </w:r>
            <w:r w:rsidRPr="00183B2B">
              <w:rPr>
                <w:color w:val="000000"/>
              </w:rPr>
              <w:t xml:space="preserve"> </w:t>
            </w:r>
            <w:r w:rsidRPr="00183B2B">
              <w:rPr>
                <w:i/>
                <w:iCs/>
                <w:color w:val="000000"/>
              </w:rPr>
              <w:t xml:space="preserve">Critical Inquiry </w:t>
            </w:r>
            <w:r w:rsidRPr="00183B2B">
              <w:rPr>
                <w:color w:val="000000"/>
              </w:rPr>
              <w:t>40, no. 1 (Fall 2013): 220-41.</w:t>
            </w:r>
          </w:p>
          <w:p w14:paraId="73A76435" w14:textId="4BCBA1B0" w:rsidR="00183B2B" w:rsidRDefault="00183B2B"/>
        </w:tc>
      </w:tr>
      <w:tr w:rsidR="007B1C2A" w14:paraId="54999F74" w14:textId="77777777" w:rsidTr="007B1C2A">
        <w:tc>
          <w:tcPr>
            <w:tcW w:w="1165" w:type="dxa"/>
          </w:tcPr>
          <w:p w14:paraId="3E65AAC5" w14:textId="77777777" w:rsidR="007B1C2A" w:rsidRDefault="007B1C2A">
            <w:r>
              <w:t>June 4</w:t>
            </w:r>
          </w:p>
          <w:p w14:paraId="2390DFBE" w14:textId="77777777" w:rsidR="00634DCB" w:rsidRDefault="00634DCB"/>
          <w:p w14:paraId="0C7C6E5C" w14:textId="4655A366" w:rsidR="00634DCB" w:rsidRDefault="00634DCB">
            <w:r w:rsidRPr="00634DCB">
              <w:rPr>
                <w:b/>
                <w:bCs/>
              </w:rPr>
              <w:t xml:space="preserve">By </w:t>
            </w:r>
            <w:r>
              <w:rPr>
                <w:b/>
                <w:bCs/>
              </w:rPr>
              <w:t xml:space="preserve">the end of </w:t>
            </w:r>
            <w:r w:rsidRPr="00634DCB">
              <w:rPr>
                <w:b/>
                <w:bCs/>
              </w:rPr>
              <w:t>Tues. June 8</w:t>
            </w:r>
            <w:r w:rsidRPr="00634DCB">
              <w:rPr>
                <w:b/>
                <w:bCs/>
                <w:vertAlign w:val="superscript"/>
              </w:rPr>
              <w:t>th</w:t>
            </w:r>
            <w:r>
              <w:t>, Option A submit 2</w:t>
            </w:r>
            <w:proofErr w:type="gramStart"/>
            <w:r w:rsidRPr="00634DCB">
              <w:rPr>
                <w:vertAlign w:val="superscript"/>
              </w:rPr>
              <w:t>nd</w:t>
            </w:r>
            <w:r>
              <w:t xml:space="preserve">  response</w:t>
            </w:r>
            <w:proofErr w:type="gramEnd"/>
            <w:r>
              <w:t xml:space="preserve"> paper, and Option B submit final research paper</w:t>
            </w:r>
          </w:p>
        </w:tc>
        <w:tc>
          <w:tcPr>
            <w:tcW w:w="1260" w:type="dxa"/>
          </w:tcPr>
          <w:p w14:paraId="1CA2694F" w14:textId="7360B85B" w:rsidR="007B1C2A" w:rsidRDefault="007B1C2A">
            <w:r>
              <w:t>SYNCH</w:t>
            </w:r>
          </w:p>
        </w:tc>
        <w:tc>
          <w:tcPr>
            <w:tcW w:w="6925" w:type="dxa"/>
          </w:tcPr>
          <w:p w14:paraId="277F6848" w14:textId="440EBBF8" w:rsidR="00231E4E" w:rsidRPr="00231E4E" w:rsidRDefault="00231E4E">
            <w:pPr>
              <w:rPr>
                <w:b/>
                <w:bCs/>
              </w:rPr>
            </w:pPr>
            <w:r>
              <w:rPr>
                <w:b/>
                <w:bCs/>
              </w:rPr>
              <w:t>Concluding discussion</w:t>
            </w:r>
          </w:p>
          <w:p w14:paraId="1E563820" w14:textId="77777777" w:rsidR="00231E4E" w:rsidRDefault="00231E4E"/>
          <w:p w14:paraId="3FD790B1" w14:textId="77777777" w:rsidR="00D823E5" w:rsidRDefault="00D823E5">
            <w:r>
              <w:t>Read “</w:t>
            </w:r>
            <w:r w:rsidRPr="00D823E5">
              <w:t xml:space="preserve">The Wayland Rudd Collection and the Network of Mutuality: An Interview with Yevgeniy </w:t>
            </w:r>
            <w:proofErr w:type="spellStart"/>
            <w:r w:rsidRPr="00D823E5">
              <w:t>Fiks</w:t>
            </w:r>
            <w:proofErr w:type="spellEnd"/>
            <w:r>
              <w:t xml:space="preserve">” on </w:t>
            </w:r>
            <w:proofErr w:type="spellStart"/>
            <w:r>
              <w:rPr>
                <w:i/>
                <w:iCs/>
              </w:rPr>
              <w:t>ArtMargins</w:t>
            </w:r>
            <w:proofErr w:type="spellEnd"/>
            <w:r>
              <w:rPr>
                <w:i/>
                <w:iCs/>
              </w:rPr>
              <w:t xml:space="preserve"> Online </w:t>
            </w:r>
            <w:r>
              <w:t>(</w:t>
            </w:r>
            <w:hyperlink r:id="rId8" w:history="1">
              <w:r w:rsidRPr="003978DE">
                <w:rPr>
                  <w:rStyle w:val="Hyperlink"/>
                </w:rPr>
                <w:t>https://artmargins.com/the-wayland-rudd-collection-and-the-network-of-mutuality-an-interview-with-yevgeniy-fiks/</w:t>
              </w:r>
            </w:hyperlink>
            <w:r>
              <w:t xml:space="preserve">) and a selection of four other recent book reviews or short features from the same site, in preparation for a closing discussion about the future of the field. </w:t>
            </w:r>
          </w:p>
          <w:p w14:paraId="05920DDE" w14:textId="77777777" w:rsidR="00231E4E" w:rsidRDefault="00231E4E">
            <w:pPr>
              <w:rPr>
                <w:i/>
                <w:iCs/>
              </w:rPr>
            </w:pPr>
          </w:p>
          <w:p w14:paraId="1DAEC3C8" w14:textId="11EA1EEE" w:rsidR="00231E4E" w:rsidRPr="00231E4E" w:rsidRDefault="00231E4E">
            <w:r>
              <w:t xml:space="preserve">Students who selected Option B, the research essay, will also speak for five minutes about the topics of their papers. </w:t>
            </w:r>
          </w:p>
        </w:tc>
      </w:tr>
    </w:tbl>
    <w:p w14:paraId="48402616" w14:textId="4E43CF51" w:rsidR="00DB51DC" w:rsidRDefault="00DB51DC"/>
    <w:p w14:paraId="1A75434D" w14:textId="3CAB253D" w:rsidR="005D2035" w:rsidRPr="005D2035" w:rsidRDefault="005D2035" w:rsidP="005D2035">
      <w:pPr>
        <w:pStyle w:val="Heading1"/>
        <w:rPr>
          <w:rFonts w:ascii="Times New Roman" w:hAnsi="Times New Roman"/>
        </w:rPr>
      </w:pPr>
      <w:r>
        <w:rPr>
          <w:rFonts w:ascii="Times New Roman" w:hAnsi="Times New Roman"/>
        </w:rPr>
        <w:t>Communication</w:t>
      </w:r>
      <w:r w:rsidRPr="005D2035">
        <w:rPr>
          <w:rFonts w:ascii="Times New Roman" w:hAnsi="Times New Roman"/>
        </w:rPr>
        <w:t xml:space="preserve"> Policy</w:t>
      </w:r>
    </w:p>
    <w:p w14:paraId="43E57F26" w14:textId="52F24F00" w:rsidR="005D2035" w:rsidRPr="005D2035" w:rsidRDefault="005D2035" w:rsidP="005D2035">
      <w:r>
        <w:t xml:space="preserve">Especially as this is a digital course, you MUST check your UW email and Canvas notifications multiple times a week and respond promptly to emails from me and from your peers. I aim to </w:t>
      </w:r>
      <w:r>
        <w:lastRenderedPageBreak/>
        <w:t xml:space="preserve">reply to you within 24 hours during the week for urgent issues, however I am typically unable to respond to email between 4:30pm on Friday and 7pm on Sunday due to the demands of caring for two kids under the age of five. If it’s been a couple of days since you emailed me and I haven’t answered, please go ahead and send a reminder email. I will not be at all insulted, as I probably have just lost track of your message. </w:t>
      </w:r>
    </w:p>
    <w:p w14:paraId="6112B67E" w14:textId="77777777" w:rsidR="005D2035" w:rsidRDefault="005D2035"/>
    <w:p w14:paraId="39D0BD8A" w14:textId="77777777" w:rsidR="007E28B4" w:rsidRPr="00C36146" w:rsidRDefault="007E28B4" w:rsidP="007E28B4">
      <w:pPr>
        <w:pStyle w:val="Heading1"/>
        <w:rPr>
          <w:rFonts w:ascii="Times New Roman" w:hAnsi="Times New Roman"/>
          <w:szCs w:val="22"/>
        </w:rPr>
      </w:pPr>
      <w:r w:rsidRPr="00C36146">
        <w:rPr>
          <w:rFonts w:ascii="Times New Roman" w:hAnsi="Times New Roman"/>
          <w:szCs w:val="22"/>
        </w:rPr>
        <w:t>Participation policy</w:t>
      </w:r>
    </w:p>
    <w:p w14:paraId="18042330" w14:textId="12BD9DB0" w:rsidR="007E28B4" w:rsidRPr="00C36146" w:rsidRDefault="007E28B4" w:rsidP="007E28B4">
      <w:r w:rsidRPr="00C36146">
        <w:t xml:space="preserve">Excellent participation consists in doing the readings, being present for all </w:t>
      </w:r>
      <w:r w:rsidR="00703318">
        <w:t xml:space="preserve">synchronous </w:t>
      </w:r>
      <w:r w:rsidRPr="00C36146">
        <w:t xml:space="preserve">class sessions and contributing thoughtfully to discussion every session. Class sessions missed without </w:t>
      </w:r>
      <w:r w:rsidR="00703318">
        <w:t xml:space="preserve">prior discussion </w:t>
      </w:r>
      <w:r w:rsidRPr="00C36146">
        <w:t xml:space="preserve">will result in a steep decrease in the participation grade. </w:t>
      </w:r>
    </w:p>
    <w:p w14:paraId="71C6A9EC" w14:textId="77777777" w:rsidR="007E28B4" w:rsidRDefault="007E28B4" w:rsidP="007E28B4"/>
    <w:p w14:paraId="6D71B97E" w14:textId="77777777" w:rsidR="007E28B4" w:rsidRPr="0020426C" w:rsidRDefault="007E28B4" w:rsidP="007E28B4">
      <w:pPr>
        <w:pStyle w:val="Heading1"/>
        <w:rPr>
          <w:rFonts w:ascii="Times New Roman" w:hAnsi="Times New Roman"/>
        </w:rPr>
      </w:pPr>
      <w:r w:rsidRPr="0020426C">
        <w:rPr>
          <w:rFonts w:ascii="Times New Roman" w:hAnsi="Times New Roman"/>
        </w:rPr>
        <w:t>Grading policy</w:t>
      </w:r>
    </w:p>
    <w:p w14:paraId="3EE6133B" w14:textId="3D17F535" w:rsidR="007E28B4" w:rsidRPr="0020426C" w:rsidRDefault="007E28B4" w:rsidP="007E28B4">
      <w:r w:rsidRPr="0020426C">
        <w:rPr>
          <w:u w:val="single"/>
        </w:rPr>
        <w:t>Lateness:</w:t>
      </w:r>
      <w:r w:rsidRPr="0020426C">
        <w:t xml:space="preserve"> </w:t>
      </w:r>
      <w:r>
        <w:t>I</w:t>
      </w:r>
      <w:r w:rsidRPr="0020426C">
        <w:t xml:space="preserve"> </w:t>
      </w:r>
      <w:r>
        <w:t>reserve the right to</w:t>
      </w:r>
      <w:r w:rsidRPr="0020426C">
        <w:t xml:space="preserve"> deduct 5% for every day, including weekends, that a written</w:t>
      </w:r>
      <w:r>
        <w:t xml:space="preserve"> </w:t>
      </w:r>
      <w:r w:rsidRPr="0020426C">
        <w:t xml:space="preserve">assignment is late. </w:t>
      </w:r>
      <w:r>
        <w:t xml:space="preserve">If you are experiencing circumstances that will prevent you from submitting work on time, please talk to me as soon as possible, without waiting until the deadline has passed. </w:t>
      </w:r>
    </w:p>
    <w:p w14:paraId="1B7C8D09" w14:textId="77777777" w:rsidR="007E28B4" w:rsidRPr="0020426C" w:rsidRDefault="007E28B4" w:rsidP="007E28B4">
      <w:r w:rsidRPr="0020426C">
        <w:rPr>
          <w:u w:val="single"/>
        </w:rPr>
        <w:t>Plagiarism:</w:t>
      </w:r>
      <w:r w:rsidRPr="0020426C">
        <w:t xml:space="preserve"> Plagiarism and cheating carry a heavy grade penalty decided at my discretion, which can range from receiving a 0 on the assignment in question to failing the course. If you are tempted to cheat, I recommend that you consider a visit to the University’s Counseling Center to get support concerning stress and emotional coping.</w:t>
      </w:r>
    </w:p>
    <w:p w14:paraId="143B5A81" w14:textId="77777777" w:rsidR="007E28B4" w:rsidRPr="0020426C" w:rsidRDefault="007E28B4" w:rsidP="007E28B4"/>
    <w:p w14:paraId="440BBE3C" w14:textId="77777777" w:rsidR="007E28B4" w:rsidRPr="0020426C" w:rsidRDefault="007E28B4" w:rsidP="007E28B4">
      <w:pPr>
        <w:pStyle w:val="Heading1"/>
        <w:rPr>
          <w:rFonts w:ascii="Times New Roman" w:hAnsi="Times New Roman"/>
        </w:rPr>
      </w:pPr>
      <w:r w:rsidRPr="0020426C">
        <w:rPr>
          <w:rFonts w:ascii="Times New Roman" w:hAnsi="Times New Roman"/>
        </w:rPr>
        <w:t>Accommodation</w:t>
      </w:r>
    </w:p>
    <w:p w14:paraId="118DE68E" w14:textId="77777777" w:rsidR="007E28B4" w:rsidRPr="0020426C" w:rsidRDefault="007E28B4" w:rsidP="007E28B4">
      <w:r w:rsidRPr="0020426C">
        <w:t>I look forward to working with students who may need learning accommodations (for the</w:t>
      </w:r>
    </w:p>
    <w:p w14:paraId="0BD29880" w14:textId="77777777" w:rsidR="007E28B4" w:rsidRPr="0020426C" w:rsidRDefault="007E28B4" w:rsidP="007E28B4">
      <w:proofErr w:type="gramStart"/>
      <w:r w:rsidRPr="0020426C">
        <w:t>official School of Art policy,</w:t>
      </w:r>
      <w:proofErr w:type="gramEnd"/>
      <w:r w:rsidRPr="0020426C">
        <w:t xml:space="preserve"> see </w:t>
      </w:r>
      <w:r>
        <w:t>supplementary document</w:t>
      </w:r>
      <w:r w:rsidRPr="0020426C">
        <w:t>). If you are registered with Disabled Student</w:t>
      </w:r>
      <w:r>
        <w:t xml:space="preserve"> </w:t>
      </w:r>
      <w:r w:rsidRPr="0020426C">
        <w:t>Services, please make sure I</w:t>
      </w:r>
      <w:r>
        <w:t xml:space="preserve"> </w:t>
      </w:r>
      <w:r w:rsidRPr="0020426C">
        <w:t>receive it within one week of the start of class.</w:t>
      </w:r>
    </w:p>
    <w:p w14:paraId="293121D8" w14:textId="77777777" w:rsidR="007E28B4" w:rsidRPr="0020426C" w:rsidRDefault="007E28B4" w:rsidP="007E28B4"/>
    <w:p w14:paraId="5CEC2FE9" w14:textId="77777777" w:rsidR="007E28B4" w:rsidRPr="0020426C" w:rsidRDefault="007E28B4" w:rsidP="007E28B4">
      <w:pPr>
        <w:pStyle w:val="Heading1"/>
        <w:rPr>
          <w:rFonts w:ascii="Times New Roman" w:hAnsi="Times New Roman"/>
        </w:rPr>
      </w:pPr>
      <w:r w:rsidRPr="0020426C">
        <w:rPr>
          <w:rFonts w:ascii="Times New Roman" w:hAnsi="Times New Roman"/>
        </w:rPr>
        <w:t>Anti-discrimination</w:t>
      </w:r>
    </w:p>
    <w:p w14:paraId="6BF6F2AE" w14:textId="1D13C27F" w:rsidR="007E28B4" w:rsidRPr="0020426C" w:rsidRDefault="007E28B4" w:rsidP="007E28B4">
      <w:r w:rsidRPr="0020426C">
        <w:t xml:space="preserve">As your instructor I am committed to making our classroom a space without discrimination, where each one of you feels comfortable expressing yourself, and equally, is willing to listen to your peers express themselves. If discrimination does arise, I invite you to discuss it with me and we can make a plan for how to rectify it. Being committed to anti-discrimination doesn’t mean that you need to be nervous about saying the “wrong” thing. Rather, it’s a commitment to process, in which all of us agree to remain generous and self-reflexive, and to help each other out in the collective work of establishing a positive group dynamic. </w:t>
      </w:r>
      <w:r w:rsidR="00703318">
        <w:t>A</w:t>
      </w:r>
      <w:r w:rsidR="00515353">
        <w:t>s</w:t>
      </w:r>
      <w:r w:rsidR="00703318">
        <w:t xml:space="preserve"> an able-bodied, </w:t>
      </w:r>
      <w:proofErr w:type="spellStart"/>
      <w:r w:rsidR="00703318">
        <w:t>cys</w:t>
      </w:r>
      <w:proofErr w:type="spellEnd"/>
      <w:r w:rsidR="00703318">
        <w:t xml:space="preserve">-gendered white woman, </w:t>
      </w:r>
      <w:r w:rsidR="00194638">
        <w:t xml:space="preserve">I am committed to the ongoing act of taking responsibility for my position of power within the digital </w:t>
      </w:r>
      <w:proofErr w:type="gramStart"/>
      <w:r w:rsidR="00194638">
        <w:t>classroom, and</w:t>
      </w:r>
      <w:proofErr w:type="gramEnd"/>
      <w:r w:rsidR="00194638">
        <w:t xml:space="preserve"> working to make it a welcoming space for others who don’t share my experiences or opinions. The </w:t>
      </w:r>
      <w:r w:rsidRPr="0020426C">
        <w:t>School of Art’s official Equal Opportunity policy</w:t>
      </w:r>
      <w:r w:rsidR="00194638">
        <w:t xml:space="preserve"> is available </w:t>
      </w:r>
      <w:r w:rsidR="00F40BD6">
        <w:t>on the School website</w:t>
      </w:r>
      <w:r w:rsidRPr="0020426C">
        <w:t>.</w:t>
      </w:r>
    </w:p>
    <w:p w14:paraId="1E0B7AC3" w14:textId="77777777" w:rsidR="000B2CBE" w:rsidRDefault="000B2CBE"/>
    <w:sectPr w:rsidR="000B2CBE" w:rsidSect="000D750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82CB5" w14:textId="77777777" w:rsidR="007B112B" w:rsidRDefault="007B112B" w:rsidP="00526BDE">
      <w:r>
        <w:separator/>
      </w:r>
    </w:p>
  </w:endnote>
  <w:endnote w:type="continuationSeparator" w:id="0">
    <w:p w14:paraId="036527EB" w14:textId="77777777" w:rsidR="007B112B" w:rsidRDefault="007B112B" w:rsidP="005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2917878"/>
      <w:docPartObj>
        <w:docPartGallery w:val="Page Numbers (Bottom of Page)"/>
        <w:docPartUnique/>
      </w:docPartObj>
    </w:sdtPr>
    <w:sdtContent>
      <w:p w14:paraId="7758E752" w14:textId="6185C8FE" w:rsidR="00526BDE" w:rsidRDefault="00526BDE" w:rsidP="003978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E7C71" w14:textId="77777777" w:rsidR="00526BDE" w:rsidRDefault="00526BDE" w:rsidP="00526B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5856158"/>
      <w:docPartObj>
        <w:docPartGallery w:val="Page Numbers (Bottom of Page)"/>
        <w:docPartUnique/>
      </w:docPartObj>
    </w:sdtPr>
    <w:sdtContent>
      <w:p w14:paraId="789E26CC" w14:textId="6FF4D9C7" w:rsidR="00526BDE" w:rsidRDefault="00526BDE" w:rsidP="003978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B24216" w14:textId="77777777" w:rsidR="00526BDE" w:rsidRDefault="00526BDE" w:rsidP="00526B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639C3" w14:textId="77777777" w:rsidR="007B112B" w:rsidRDefault="007B112B" w:rsidP="00526BDE">
      <w:r>
        <w:separator/>
      </w:r>
    </w:p>
  </w:footnote>
  <w:footnote w:type="continuationSeparator" w:id="0">
    <w:p w14:paraId="41055D76" w14:textId="77777777" w:rsidR="007B112B" w:rsidRDefault="007B112B" w:rsidP="00526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E9"/>
    <w:rsid w:val="00000ACA"/>
    <w:rsid w:val="00023BC4"/>
    <w:rsid w:val="00070988"/>
    <w:rsid w:val="000B2CBE"/>
    <w:rsid w:val="000D3142"/>
    <w:rsid w:val="000D59C0"/>
    <w:rsid w:val="000D7501"/>
    <w:rsid w:val="000E6187"/>
    <w:rsid w:val="000E70D2"/>
    <w:rsid w:val="000F4B19"/>
    <w:rsid w:val="00131B97"/>
    <w:rsid w:val="00141785"/>
    <w:rsid w:val="0015423B"/>
    <w:rsid w:val="00157EE9"/>
    <w:rsid w:val="00162A5C"/>
    <w:rsid w:val="00183B2B"/>
    <w:rsid w:val="00194638"/>
    <w:rsid w:val="001A3E9D"/>
    <w:rsid w:val="001F673A"/>
    <w:rsid w:val="00222BCB"/>
    <w:rsid w:val="00231E4E"/>
    <w:rsid w:val="00245AF9"/>
    <w:rsid w:val="0026093A"/>
    <w:rsid w:val="002924A2"/>
    <w:rsid w:val="002B1B5E"/>
    <w:rsid w:val="002C2672"/>
    <w:rsid w:val="002C5235"/>
    <w:rsid w:val="002E6E92"/>
    <w:rsid w:val="002E7530"/>
    <w:rsid w:val="00331A8C"/>
    <w:rsid w:val="00345B2B"/>
    <w:rsid w:val="0036072F"/>
    <w:rsid w:val="00383C89"/>
    <w:rsid w:val="0038581B"/>
    <w:rsid w:val="0039320A"/>
    <w:rsid w:val="003C4E5F"/>
    <w:rsid w:val="003E052E"/>
    <w:rsid w:val="003E5363"/>
    <w:rsid w:val="0048482D"/>
    <w:rsid w:val="004A7AA1"/>
    <w:rsid w:val="004E77E8"/>
    <w:rsid w:val="004F0089"/>
    <w:rsid w:val="00515353"/>
    <w:rsid w:val="00516639"/>
    <w:rsid w:val="00526BDE"/>
    <w:rsid w:val="0053033B"/>
    <w:rsid w:val="0055207D"/>
    <w:rsid w:val="005A2557"/>
    <w:rsid w:val="005D2035"/>
    <w:rsid w:val="005D7358"/>
    <w:rsid w:val="00607C37"/>
    <w:rsid w:val="006159DD"/>
    <w:rsid w:val="00634DCB"/>
    <w:rsid w:val="0065248C"/>
    <w:rsid w:val="00690338"/>
    <w:rsid w:val="006971C4"/>
    <w:rsid w:val="006B5B42"/>
    <w:rsid w:val="006B6FC7"/>
    <w:rsid w:val="006C370C"/>
    <w:rsid w:val="006E25F0"/>
    <w:rsid w:val="006E29E9"/>
    <w:rsid w:val="00703318"/>
    <w:rsid w:val="00730260"/>
    <w:rsid w:val="007642D5"/>
    <w:rsid w:val="00781BB3"/>
    <w:rsid w:val="007A1E8F"/>
    <w:rsid w:val="007A691B"/>
    <w:rsid w:val="007B112B"/>
    <w:rsid w:val="007B1C2A"/>
    <w:rsid w:val="007D73B4"/>
    <w:rsid w:val="007E1320"/>
    <w:rsid w:val="007E28B4"/>
    <w:rsid w:val="007E611B"/>
    <w:rsid w:val="007F0A84"/>
    <w:rsid w:val="00803DB4"/>
    <w:rsid w:val="00805941"/>
    <w:rsid w:val="00817144"/>
    <w:rsid w:val="008312C9"/>
    <w:rsid w:val="00842CAF"/>
    <w:rsid w:val="00856CEC"/>
    <w:rsid w:val="008666A6"/>
    <w:rsid w:val="00874A55"/>
    <w:rsid w:val="008F10A6"/>
    <w:rsid w:val="00965D97"/>
    <w:rsid w:val="00991D8D"/>
    <w:rsid w:val="009C49CD"/>
    <w:rsid w:val="009C49E5"/>
    <w:rsid w:val="009E4839"/>
    <w:rsid w:val="009F00FD"/>
    <w:rsid w:val="00A13274"/>
    <w:rsid w:val="00A43205"/>
    <w:rsid w:val="00A72C51"/>
    <w:rsid w:val="00A84330"/>
    <w:rsid w:val="00A91823"/>
    <w:rsid w:val="00AE41B2"/>
    <w:rsid w:val="00B262F7"/>
    <w:rsid w:val="00B7218E"/>
    <w:rsid w:val="00B75789"/>
    <w:rsid w:val="00BA5D05"/>
    <w:rsid w:val="00BF28D5"/>
    <w:rsid w:val="00C452B3"/>
    <w:rsid w:val="00C57C02"/>
    <w:rsid w:val="00C62D26"/>
    <w:rsid w:val="00C84713"/>
    <w:rsid w:val="00CA6C1A"/>
    <w:rsid w:val="00CA7943"/>
    <w:rsid w:val="00CB4B9E"/>
    <w:rsid w:val="00CB6EAB"/>
    <w:rsid w:val="00CE419F"/>
    <w:rsid w:val="00CE5E5C"/>
    <w:rsid w:val="00D31B0E"/>
    <w:rsid w:val="00D5130A"/>
    <w:rsid w:val="00D721CC"/>
    <w:rsid w:val="00D823E5"/>
    <w:rsid w:val="00D8794F"/>
    <w:rsid w:val="00D93247"/>
    <w:rsid w:val="00DB51DC"/>
    <w:rsid w:val="00DE00EF"/>
    <w:rsid w:val="00DE011F"/>
    <w:rsid w:val="00E154CD"/>
    <w:rsid w:val="00E6196C"/>
    <w:rsid w:val="00E7765A"/>
    <w:rsid w:val="00F106A9"/>
    <w:rsid w:val="00F40BD6"/>
    <w:rsid w:val="00F5114E"/>
    <w:rsid w:val="00F54CD6"/>
    <w:rsid w:val="00FD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02C03"/>
  <w15:chartTrackingRefBased/>
  <w15:docId w15:val="{C96B560C-B655-0B4E-A6EC-74679036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73B4"/>
  </w:style>
  <w:style w:type="paragraph" w:styleId="Heading1">
    <w:name w:val="heading 1"/>
    <w:basedOn w:val="Normal"/>
    <w:next w:val="Normal"/>
    <w:link w:val="Heading1Char"/>
    <w:qFormat/>
    <w:rsid w:val="007E28B4"/>
    <w:pPr>
      <w:keepNext/>
      <w:jc w:val="both"/>
      <w:outlineLvl w:val="0"/>
    </w:pPr>
    <w:rPr>
      <w:rFonts w:ascii="Arial Narrow" w:eastAsia="Times New Roman" w:hAnsi="Arial Narrow"/>
      <w:b/>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D97"/>
    <w:rPr>
      <w:color w:val="0563C1" w:themeColor="hyperlink"/>
      <w:u w:val="single"/>
    </w:rPr>
  </w:style>
  <w:style w:type="character" w:styleId="UnresolvedMention">
    <w:name w:val="Unresolved Mention"/>
    <w:basedOn w:val="DefaultParagraphFont"/>
    <w:uiPriority w:val="99"/>
    <w:rsid w:val="00965D97"/>
    <w:rPr>
      <w:color w:val="605E5C"/>
      <w:shd w:val="clear" w:color="auto" w:fill="E1DFDD"/>
    </w:rPr>
  </w:style>
  <w:style w:type="table" w:styleId="TableGrid">
    <w:name w:val="Table Grid"/>
    <w:basedOn w:val="TableNormal"/>
    <w:uiPriority w:val="39"/>
    <w:rsid w:val="00F1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28B4"/>
    <w:rPr>
      <w:rFonts w:ascii="Arial Narrow" w:eastAsia="Times New Roman" w:hAnsi="Arial Narrow"/>
      <w:b/>
      <w:sz w:val="22"/>
      <w:szCs w:val="20"/>
      <w:u w:val="single"/>
    </w:rPr>
  </w:style>
  <w:style w:type="character" w:styleId="FollowedHyperlink">
    <w:name w:val="FollowedHyperlink"/>
    <w:basedOn w:val="DefaultParagraphFont"/>
    <w:uiPriority w:val="99"/>
    <w:semiHidden/>
    <w:unhideWhenUsed/>
    <w:rsid w:val="009E4839"/>
    <w:rPr>
      <w:color w:val="954F72" w:themeColor="followedHyperlink"/>
      <w:u w:val="single"/>
    </w:rPr>
  </w:style>
  <w:style w:type="paragraph" w:styleId="Footer">
    <w:name w:val="footer"/>
    <w:basedOn w:val="Normal"/>
    <w:link w:val="FooterChar"/>
    <w:uiPriority w:val="99"/>
    <w:unhideWhenUsed/>
    <w:rsid w:val="00526BDE"/>
    <w:pPr>
      <w:tabs>
        <w:tab w:val="center" w:pos="4680"/>
        <w:tab w:val="right" w:pos="9360"/>
      </w:tabs>
    </w:pPr>
  </w:style>
  <w:style w:type="character" w:customStyle="1" w:styleId="FooterChar">
    <w:name w:val="Footer Char"/>
    <w:basedOn w:val="DefaultParagraphFont"/>
    <w:link w:val="Footer"/>
    <w:uiPriority w:val="99"/>
    <w:rsid w:val="00526BDE"/>
  </w:style>
  <w:style w:type="character" w:styleId="PageNumber">
    <w:name w:val="page number"/>
    <w:basedOn w:val="DefaultParagraphFont"/>
    <w:uiPriority w:val="99"/>
    <w:semiHidden/>
    <w:unhideWhenUsed/>
    <w:rsid w:val="0052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33229">
      <w:bodyDiv w:val="1"/>
      <w:marLeft w:val="0"/>
      <w:marRight w:val="0"/>
      <w:marTop w:val="0"/>
      <w:marBottom w:val="0"/>
      <w:divBdr>
        <w:top w:val="none" w:sz="0" w:space="0" w:color="auto"/>
        <w:left w:val="none" w:sz="0" w:space="0" w:color="auto"/>
        <w:bottom w:val="none" w:sz="0" w:space="0" w:color="auto"/>
        <w:right w:val="none" w:sz="0" w:space="0" w:color="auto"/>
      </w:divBdr>
    </w:div>
    <w:div w:id="873159165">
      <w:bodyDiv w:val="1"/>
      <w:marLeft w:val="0"/>
      <w:marRight w:val="0"/>
      <w:marTop w:val="0"/>
      <w:marBottom w:val="0"/>
      <w:divBdr>
        <w:top w:val="none" w:sz="0" w:space="0" w:color="auto"/>
        <w:left w:val="none" w:sz="0" w:space="0" w:color="auto"/>
        <w:bottom w:val="none" w:sz="0" w:space="0" w:color="auto"/>
        <w:right w:val="none" w:sz="0" w:space="0" w:color="auto"/>
      </w:divBdr>
      <w:divsChild>
        <w:div w:id="828865357">
          <w:marLeft w:val="0"/>
          <w:marRight w:val="0"/>
          <w:marTop w:val="0"/>
          <w:marBottom w:val="0"/>
          <w:divBdr>
            <w:top w:val="none" w:sz="0" w:space="0" w:color="auto"/>
            <w:left w:val="none" w:sz="0" w:space="0" w:color="auto"/>
            <w:bottom w:val="none" w:sz="0" w:space="0" w:color="auto"/>
            <w:right w:val="none" w:sz="0" w:space="0" w:color="auto"/>
          </w:divBdr>
        </w:div>
      </w:divsChild>
    </w:div>
    <w:div w:id="877813311">
      <w:bodyDiv w:val="1"/>
      <w:marLeft w:val="0"/>
      <w:marRight w:val="0"/>
      <w:marTop w:val="0"/>
      <w:marBottom w:val="0"/>
      <w:divBdr>
        <w:top w:val="none" w:sz="0" w:space="0" w:color="auto"/>
        <w:left w:val="none" w:sz="0" w:space="0" w:color="auto"/>
        <w:bottom w:val="none" w:sz="0" w:space="0" w:color="auto"/>
        <w:right w:val="none" w:sz="0" w:space="0" w:color="auto"/>
      </w:divBdr>
    </w:div>
    <w:div w:id="12666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margins.com/the-wayland-rudd-collection-and-the-network-of-mutuality-an-interview-with-yevgeniy-fiks/" TargetMode="External"/><Relationship Id="rId3" Type="http://schemas.openxmlformats.org/officeDocument/2006/relationships/webSettings" Target="webSettings.xml"/><Relationship Id="rId7" Type="http://schemas.openxmlformats.org/officeDocument/2006/relationships/hyperlink" Target="http://artjournal.collegeart.org/?p=975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dair@uw.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Rounthwaite</dc:creator>
  <cp:keywords/>
  <dc:description/>
  <cp:lastModifiedBy>Adair Rounthwaite</cp:lastModifiedBy>
  <cp:revision>2</cp:revision>
  <dcterms:created xsi:type="dcterms:W3CDTF">2021-03-03T18:53:00Z</dcterms:created>
  <dcterms:modified xsi:type="dcterms:W3CDTF">2021-03-03T18:53:00Z</dcterms:modified>
</cp:coreProperties>
</file>