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A13BC" w14:textId="104AA527" w:rsidR="003E2655" w:rsidRDefault="003E2655" w:rsidP="00876B1C">
      <w:pPr>
        <w:spacing w:after="160" w:line="360" w:lineRule="auto"/>
      </w:pPr>
      <w:r>
        <w:t xml:space="preserve">Jan Bender </w:t>
      </w:r>
      <w:proofErr w:type="spellStart"/>
      <w:r>
        <w:t>Shetler</w:t>
      </w:r>
      <w:proofErr w:type="spellEnd"/>
      <w:r>
        <w:t xml:space="preserve">, </w:t>
      </w:r>
      <w:proofErr w:type="gramStart"/>
      <w:r>
        <w:t xml:space="preserve">ed,  </w:t>
      </w:r>
      <w:r>
        <w:rPr>
          <w:i/>
          <w:iCs/>
        </w:rPr>
        <w:t>Gendering</w:t>
      </w:r>
      <w:proofErr w:type="gramEnd"/>
      <w:r>
        <w:rPr>
          <w:i/>
          <w:iCs/>
        </w:rPr>
        <w:t xml:space="preserve"> Ethnicity in African Women’s Lives </w:t>
      </w:r>
      <w:r>
        <w:t>(Madison: The University of Wisconsin Press, 2015). From her introduction:</w:t>
      </w:r>
    </w:p>
    <w:p w14:paraId="23A3FB75" w14:textId="77777777" w:rsidR="003E2655" w:rsidRDefault="003E2655" w:rsidP="00876B1C">
      <w:pPr>
        <w:spacing w:after="160" w:line="360" w:lineRule="auto"/>
      </w:pPr>
      <w:r>
        <w:t>PRECOLONIAL GENDER RELATIONS:</w:t>
      </w:r>
    </w:p>
    <w:p w14:paraId="443562E3" w14:textId="4A3CE8A2" w:rsidR="003E2655" w:rsidRDefault="003E2655" w:rsidP="00876B1C">
      <w:pPr>
        <w:spacing w:after="160" w:line="360" w:lineRule="auto"/>
      </w:pPr>
      <w:r>
        <w:t>In precolonial Africa, women maintained an extraordinary amount of autonomy within their own domain, particularly in matrilineal societies. But even in hierarchical societies, women serve a variety of leadership roles, including chiefs and queens or kings. Women had authority in ritual activities, and their spiritual power was often understood to be superior to that of men because of their connection to fertility and reproduction. In many African societies, women controlled gendered spheres of influence such as subsistence agriculture. Women and men had gendered tasks and domains of power in most African societies, making their identities closely related to the gendered roles they played in everyday life. Thus authority, however, broke down with colonialism when Europeans failed to recognize women’s political and spiritual roles and their economic importance in agriculture. This has led some to question the use of patriarchy as a blanket term for African gender relations, since the current terms of inequality are largely a result of colonial policy’. (p.</w:t>
      </w:r>
      <w:r w:rsidR="00BE5767">
        <w:t xml:space="preserve"> </w:t>
      </w:r>
      <w:r>
        <w:t>9)</w:t>
      </w:r>
    </w:p>
    <w:p w14:paraId="67B1F7E6" w14:textId="77777777" w:rsidR="0044430B" w:rsidRDefault="0044430B" w:rsidP="00876B1C">
      <w:pPr>
        <w:spacing w:after="160" w:line="360" w:lineRule="auto"/>
      </w:pPr>
    </w:p>
    <w:p w14:paraId="3B455C99" w14:textId="10E0C6E3" w:rsidR="003E2655" w:rsidRDefault="003E2655" w:rsidP="00876B1C">
      <w:pPr>
        <w:spacing w:after="160" w:line="360" w:lineRule="auto"/>
      </w:pPr>
      <w:r>
        <w:t>COLONIAL IMPACT</w:t>
      </w:r>
      <w:r w:rsidR="00D628C0">
        <w:t xml:space="preserve"> ON GENDER AND ETHNIC FORMATIONS</w:t>
      </w:r>
      <w:r>
        <w:t>:</w:t>
      </w:r>
    </w:p>
    <w:p w14:paraId="12FDDE6E" w14:textId="2ADEF4B5" w:rsidR="00D628C0" w:rsidRDefault="003E2655" w:rsidP="00876B1C">
      <w:pPr>
        <w:spacing w:after="160" w:line="360" w:lineRule="auto"/>
      </w:pPr>
      <w:r>
        <w:t xml:space="preserve">In the colonial period, </w:t>
      </w:r>
      <w:proofErr w:type="spellStart"/>
      <w:r>
        <w:t>authories</w:t>
      </w:r>
      <w:proofErr w:type="spellEnd"/>
      <w:r>
        <w:t xml:space="preserve"> sought to regularize and systemati</w:t>
      </w:r>
      <w:r w:rsidR="007E35E1">
        <w:t>z</w:t>
      </w:r>
      <w:r>
        <w:t xml:space="preserve">e the administration of indirect rule by establishing “tribes”, chiefs, and their geographical boundaries, which defined the basis for competition over colonial resources … </w:t>
      </w:r>
    </w:p>
    <w:p w14:paraId="722A429E" w14:textId="2F22199A" w:rsidR="00D628C0" w:rsidRDefault="00D628C0" w:rsidP="00876B1C">
      <w:pPr>
        <w:spacing w:after="160" w:line="360" w:lineRule="auto"/>
      </w:pPr>
      <w:r>
        <w:t>The construction of colonial “tribes” depended on co-opting senior men to define the boundaries and tell the historical narratives. They created the “</w:t>
      </w:r>
      <w:proofErr w:type="spellStart"/>
      <w:r>
        <w:t>mythicohistories</w:t>
      </w:r>
      <w:proofErr w:type="spellEnd"/>
      <w:r>
        <w:t xml:space="preserve">” that formed the basis for the emergence of the imagined moral communities … Women and young men were the objects of control in these narratives … </w:t>
      </w:r>
      <w:r w:rsidR="00BE5767">
        <w:t>(p. 8)</w:t>
      </w:r>
    </w:p>
    <w:p w14:paraId="366221CD" w14:textId="77777777" w:rsidR="00936613" w:rsidRDefault="00936613" w:rsidP="007E35E1">
      <w:pPr>
        <w:spacing w:after="160" w:line="360" w:lineRule="auto"/>
      </w:pPr>
    </w:p>
    <w:p w14:paraId="341917B9" w14:textId="77777777" w:rsidR="00936613" w:rsidRDefault="00936613" w:rsidP="007E35E1">
      <w:pPr>
        <w:spacing w:after="160" w:line="360" w:lineRule="auto"/>
      </w:pPr>
    </w:p>
    <w:p w14:paraId="10FC45B2" w14:textId="77777777" w:rsidR="00936613" w:rsidRDefault="00936613" w:rsidP="007E35E1">
      <w:pPr>
        <w:spacing w:after="160" w:line="360" w:lineRule="auto"/>
      </w:pPr>
    </w:p>
    <w:p w14:paraId="66C5A318" w14:textId="390A7A48" w:rsidR="00876B1C" w:rsidRDefault="00876B1C" w:rsidP="007E35E1">
      <w:pPr>
        <w:spacing w:after="160" w:line="360" w:lineRule="auto"/>
      </w:pPr>
      <w:r>
        <w:lastRenderedPageBreak/>
        <w:t>RECENT DEVELOPMENTS IN SCHOLARSHIP ON AFRICAN GENDER RELATIONS.</w:t>
      </w:r>
    </w:p>
    <w:p w14:paraId="66AC37A5" w14:textId="32C719BF" w:rsidR="00D628C0" w:rsidRDefault="00D82BC9" w:rsidP="007E35E1">
      <w:pPr>
        <w:spacing w:after="160" w:line="360" w:lineRule="auto"/>
      </w:pPr>
      <w:r>
        <w:t>R</w:t>
      </w:r>
      <w:r w:rsidR="00D628C0">
        <w:t xml:space="preserve">ecently </w:t>
      </w:r>
      <w:r w:rsidR="00D628C0">
        <w:t xml:space="preserve">‘scholars have shown that gender relations were not so clearly binary and that women had agency in these structures, sometimes in cooperation with men, to create a cohesive community and to gain </w:t>
      </w:r>
      <w:proofErr w:type="gramStart"/>
      <w:r w:rsidR="00D628C0">
        <w:t>status’</w:t>
      </w:r>
      <w:proofErr w:type="gramEnd"/>
      <w:r w:rsidR="00D628C0">
        <w:t xml:space="preserve">. </w:t>
      </w:r>
    </w:p>
    <w:p w14:paraId="4E69E444" w14:textId="08E32D72" w:rsidR="00D628C0" w:rsidRDefault="00D628C0" w:rsidP="007E35E1">
      <w:pPr>
        <w:spacing w:after="160" w:line="360" w:lineRule="auto"/>
      </w:pPr>
      <w:r>
        <w:t xml:space="preserve">Recent gender scholarship ‘has also recognized that women are not a single category of analysis. In Africa, age matters as much as or more than gender, giving older women respected positions </w:t>
      </w:r>
      <w:proofErr w:type="gramStart"/>
      <w:r>
        <w:t>similar to</w:t>
      </w:r>
      <w:proofErr w:type="gramEnd"/>
      <w:r>
        <w:t xml:space="preserve"> men and younger women and men more subservient positions. … Some have argued that gender is not a relevant category in Africa at all, since a </w:t>
      </w:r>
      <w:proofErr w:type="gramStart"/>
      <w:r>
        <w:t>women</w:t>
      </w:r>
      <w:proofErr w:type="gramEnd"/>
      <w:r>
        <w:t xml:space="preserve"> could become a husband (as the head of a homestead) and a man could become a wife (as the genitor of a female husband’s children), while an older woman could become a chief or king or take on an honorary male role.’ (p.9)</w:t>
      </w:r>
    </w:p>
    <w:p w14:paraId="2E1BDFEB" w14:textId="77777777" w:rsidR="00D628C0" w:rsidRDefault="00D628C0" w:rsidP="007E35E1">
      <w:pPr>
        <w:spacing w:line="360" w:lineRule="auto"/>
      </w:pPr>
    </w:p>
    <w:p w14:paraId="38B9DA5F" w14:textId="2B030677" w:rsidR="00984630" w:rsidRDefault="00984630" w:rsidP="007E35E1">
      <w:pPr>
        <w:spacing w:line="360" w:lineRule="auto"/>
      </w:pPr>
      <w:r>
        <w:t xml:space="preserve">Amilcar Cabral, on </w:t>
      </w:r>
      <w:r>
        <w:rPr>
          <w:color w:val="000000"/>
        </w:rPr>
        <w:t>the national co-existence of a large variety of gender structures</w:t>
      </w:r>
      <w:r>
        <w:rPr>
          <w:color w:val="000000"/>
        </w:rPr>
        <w:t>, from ‘</w:t>
      </w:r>
      <w:r>
        <w:t>Connecting the Struggles: an informal talk with Black Americans’,</w:t>
      </w:r>
      <w:r>
        <w:t xml:space="preserve"> in </w:t>
      </w:r>
      <w:r w:rsidRPr="00984630">
        <w:rPr>
          <w:i/>
          <w:iCs/>
        </w:rPr>
        <w:t>Return to the Source: Selected Speeches of Amilcar Cabral</w:t>
      </w:r>
      <w:r>
        <w:t xml:space="preserve"> (New York:</w:t>
      </w:r>
      <w:r>
        <w:t xml:space="preserve"> </w:t>
      </w:r>
      <w:r>
        <w:t>Monthly Review Press, 1973)</w:t>
      </w:r>
      <w:r>
        <w:t>:</w:t>
      </w:r>
    </w:p>
    <w:p w14:paraId="7965722C" w14:textId="77777777" w:rsidR="00984630" w:rsidRDefault="00984630" w:rsidP="007E35E1">
      <w:pPr>
        <w:spacing w:line="360" w:lineRule="auto"/>
        <w:ind w:firstLine="720"/>
        <w:rPr>
          <w:color w:val="000000"/>
        </w:rPr>
      </w:pPr>
    </w:p>
    <w:p w14:paraId="22C8465F" w14:textId="52E728D5" w:rsidR="00984630" w:rsidRDefault="00984630" w:rsidP="007E35E1">
      <w:pPr>
        <w:spacing w:line="360" w:lineRule="auto"/>
        <w:ind w:left="720"/>
        <w:rPr>
          <w:color w:val="000000"/>
        </w:rPr>
      </w:pPr>
      <w:r>
        <w:rPr>
          <w:color w:val="000000"/>
        </w:rPr>
        <w:t xml:space="preserve">In our country you find many societies with different traditions and rules on the role of women. For example, in the Fula society a woman is like a piece of property of the man, the owner of the home. This is the typical patriarchal society … In the Balante society all that is produced belongs to the people that </w:t>
      </w:r>
      <w:proofErr w:type="gramStart"/>
      <w:r>
        <w:rPr>
          <w:color w:val="000000"/>
        </w:rPr>
        <w:t>work</w:t>
      </w:r>
      <w:proofErr w:type="gramEnd"/>
      <w:r>
        <w:rPr>
          <w:color w:val="000000"/>
        </w:rPr>
        <w:t xml:space="preserve"> and women work very hard so they are free …You know that in our country there were even matriarchal societies where women were the most important elements. On the </w:t>
      </w:r>
      <w:proofErr w:type="spellStart"/>
      <w:r>
        <w:rPr>
          <w:color w:val="000000"/>
        </w:rPr>
        <w:t>Bijagos</w:t>
      </w:r>
      <w:proofErr w:type="spellEnd"/>
      <w:r>
        <w:rPr>
          <w:color w:val="000000"/>
        </w:rPr>
        <w:t xml:space="preserve"> Islands they had queens. They were not queens because they were the daughters of kings. They had queens succeeding queens. The religious leaders were women too. (Cabral, ‘Connecting’, p. 85)</w:t>
      </w:r>
      <w:r w:rsidR="00F51447">
        <w:rPr>
          <w:color w:val="000000"/>
        </w:rPr>
        <w:t>.</w:t>
      </w:r>
    </w:p>
    <w:p w14:paraId="09165696" w14:textId="0CC2D7A3" w:rsidR="00E53715" w:rsidRDefault="00E53715" w:rsidP="00984630">
      <w:pPr>
        <w:spacing w:line="480" w:lineRule="auto"/>
        <w:ind w:left="720"/>
        <w:rPr>
          <w:color w:val="000000"/>
        </w:rPr>
      </w:pPr>
    </w:p>
    <w:p w14:paraId="7C833A2C" w14:textId="460F88F6" w:rsidR="00B85B35" w:rsidRDefault="00B85B35">
      <w:pPr>
        <w:spacing w:after="160" w:line="259" w:lineRule="auto"/>
        <w:rPr>
          <w:color w:val="000000"/>
        </w:rPr>
      </w:pPr>
      <w:r>
        <w:rPr>
          <w:color w:val="000000"/>
        </w:rPr>
        <w:br w:type="page"/>
      </w:r>
    </w:p>
    <w:p w14:paraId="2953BD00" w14:textId="1CAD92B4" w:rsidR="0044430B" w:rsidRPr="006B0F9B" w:rsidRDefault="002C3CC9" w:rsidP="006B0F9B">
      <w:pPr>
        <w:pStyle w:val="Default"/>
        <w:rPr>
          <w:rFonts w:ascii="Times New Roman" w:hAnsi="Times New Roman" w:cs="Times New Roman"/>
        </w:rPr>
      </w:pPr>
      <w:r w:rsidRPr="006B0F9B">
        <w:rPr>
          <w:rFonts w:ascii="Times New Roman" w:hAnsi="Times New Roman" w:cs="Times New Roman"/>
        </w:rPr>
        <w:lastRenderedPageBreak/>
        <w:t>From ‘</w:t>
      </w:r>
      <w:r w:rsidRPr="002C3CC9">
        <w:rPr>
          <w:rFonts w:ascii="Times New Roman" w:hAnsi="Times New Roman" w:cs="Times New Roman"/>
        </w:rPr>
        <w:t>Women in Postcolonial Africa</w:t>
      </w:r>
      <w:r w:rsidRPr="006B0F9B">
        <w:rPr>
          <w:rFonts w:ascii="Times New Roman" w:hAnsi="Times New Roman" w:cs="Times New Roman"/>
        </w:rPr>
        <w:t xml:space="preserve">’, </w:t>
      </w:r>
      <w:proofErr w:type="gramStart"/>
      <w:r w:rsidRPr="006B0F9B">
        <w:rPr>
          <w:rFonts w:ascii="Times New Roman" w:hAnsi="Times New Roman" w:cs="Times New Roman"/>
        </w:rPr>
        <w:t xml:space="preserve">by  </w:t>
      </w:r>
      <w:r w:rsidRPr="006B0F9B">
        <w:rPr>
          <w:rFonts w:ascii="Times New Roman" w:hAnsi="Times New Roman" w:cs="Times New Roman"/>
        </w:rPr>
        <w:t>Selina</w:t>
      </w:r>
      <w:proofErr w:type="gramEnd"/>
      <w:r w:rsidRPr="006B0F9B">
        <w:rPr>
          <w:rFonts w:ascii="Times New Roman" w:hAnsi="Times New Roman" w:cs="Times New Roman"/>
        </w:rPr>
        <w:t xml:space="preserve"> Makana, Columbia University - Institute for Research on Women, Gender, and Sexuality</w:t>
      </w:r>
      <w:r w:rsidRPr="006B0F9B">
        <w:rPr>
          <w:rFonts w:ascii="Times New Roman" w:hAnsi="Times New Roman" w:cs="Times New Roman"/>
        </w:rPr>
        <w:t xml:space="preserve">, in </w:t>
      </w:r>
      <w:r w:rsidRPr="006B0F9B">
        <w:rPr>
          <w:rFonts w:ascii="Times New Roman" w:hAnsi="Times New Roman" w:cs="Times New Roman"/>
          <w:i/>
          <w:iCs/>
        </w:rPr>
        <w:t>Oxford Research</w:t>
      </w:r>
      <w:r w:rsidR="002C62DD" w:rsidRPr="006B0F9B">
        <w:rPr>
          <w:rFonts w:ascii="Times New Roman" w:hAnsi="Times New Roman" w:cs="Times New Roman"/>
          <w:i/>
          <w:iCs/>
        </w:rPr>
        <w:t xml:space="preserve"> </w:t>
      </w:r>
      <w:proofErr w:type="spellStart"/>
      <w:r w:rsidR="002C62DD" w:rsidRPr="006B0F9B">
        <w:rPr>
          <w:rFonts w:ascii="Times New Roman" w:hAnsi="Times New Roman" w:cs="Times New Roman"/>
          <w:i/>
          <w:iCs/>
        </w:rPr>
        <w:t>Encyclopedia</w:t>
      </w:r>
      <w:proofErr w:type="spellEnd"/>
      <w:r w:rsidR="002C62DD" w:rsidRPr="006B0F9B">
        <w:rPr>
          <w:rFonts w:ascii="Times New Roman" w:hAnsi="Times New Roman" w:cs="Times New Roman"/>
          <w:i/>
          <w:iCs/>
        </w:rPr>
        <w:t xml:space="preserve"> of African History</w:t>
      </w:r>
      <w:r w:rsidR="002C62DD" w:rsidRPr="006B0F9B">
        <w:rPr>
          <w:rFonts w:ascii="Times New Roman" w:hAnsi="Times New Roman" w:cs="Times New Roman"/>
        </w:rPr>
        <w:t>, published online May 2020</w:t>
      </w:r>
      <w:r w:rsidR="006B0F9B" w:rsidRPr="006B0F9B">
        <w:rPr>
          <w:rFonts w:ascii="Times New Roman" w:hAnsi="Times New Roman" w:cs="Times New Roman"/>
        </w:rPr>
        <w:t xml:space="preserve">, </w:t>
      </w:r>
      <w:r w:rsidR="006B0F9B" w:rsidRPr="006B0F9B">
        <w:rPr>
          <w:rFonts w:ascii="Times New Roman" w:hAnsi="Times New Roman" w:cs="Times New Roman"/>
        </w:rPr>
        <w:t>https://doi.org/10.1093/acrefore/9780190277734.013.663</w:t>
      </w:r>
    </w:p>
    <w:p w14:paraId="1C1D48E5" w14:textId="77777777" w:rsidR="0044430B" w:rsidRPr="006B0F9B" w:rsidRDefault="0044430B" w:rsidP="00387481">
      <w:pPr>
        <w:pStyle w:val="Default"/>
        <w:rPr>
          <w:rFonts w:ascii="Times New Roman" w:hAnsi="Times New Roman" w:cs="Times New Roman"/>
        </w:rPr>
      </w:pPr>
    </w:p>
    <w:p w14:paraId="18DAFEEC" w14:textId="77777777" w:rsidR="0044430B" w:rsidRDefault="0044430B" w:rsidP="00387481">
      <w:pPr>
        <w:pStyle w:val="Default"/>
        <w:rPr>
          <w:rFonts w:ascii="Times New Roman" w:hAnsi="Times New Roman" w:cs="Times New Roman"/>
        </w:rPr>
      </w:pPr>
    </w:p>
    <w:p w14:paraId="7A15E057" w14:textId="356FB102" w:rsidR="00FC763A" w:rsidRPr="00FC763A" w:rsidRDefault="00387481" w:rsidP="005E075C">
      <w:pPr>
        <w:spacing w:line="360" w:lineRule="auto"/>
        <w:rPr>
          <w:rFonts w:eastAsiaTheme="minorHAnsi"/>
          <w:color w:val="000000"/>
          <w:szCs w:val="24"/>
          <w:lang w:val="en-US"/>
        </w:rPr>
      </w:pPr>
      <w:r w:rsidRPr="00387481">
        <w:rPr>
          <w:szCs w:val="24"/>
        </w:rPr>
        <w:t>Despite women’s contributions to the struggle for independence, many postcolonial states reproduced the gender hierarchies and economic inequities of colonial regimes. The promises made by various nationalist movements in the first half of the 20th century</w:t>
      </w:r>
      <w:r w:rsidR="00FC763A">
        <w:rPr>
          <w:szCs w:val="24"/>
        </w:rPr>
        <w:t xml:space="preserve"> </w:t>
      </w:r>
      <w:r w:rsidR="00FC763A" w:rsidRPr="00FC763A">
        <w:rPr>
          <w:rFonts w:eastAsiaTheme="minorHAnsi"/>
          <w:color w:val="000000"/>
          <w:szCs w:val="24"/>
          <w:lang w:val="en-US"/>
        </w:rPr>
        <w:t xml:space="preserve">regarding women’s access to political rights and the </w:t>
      </w:r>
      <w:proofErr w:type="gramStart"/>
      <w:r w:rsidR="00FC763A" w:rsidRPr="00FC763A">
        <w:rPr>
          <w:rFonts w:eastAsiaTheme="minorHAnsi"/>
          <w:color w:val="000000"/>
          <w:szCs w:val="24"/>
          <w:lang w:val="en-US"/>
        </w:rPr>
        <w:t>opening up</w:t>
      </w:r>
      <w:proofErr w:type="gramEnd"/>
      <w:r w:rsidR="00FC763A" w:rsidRPr="00FC763A">
        <w:rPr>
          <w:rFonts w:eastAsiaTheme="minorHAnsi"/>
          <w:color w:val="000000"/>
          <w:szCs w:val="24"/>
          <w:lang w:val="en-US"/>
        </w:rPr>
        <w:t xml:space="preserve"> of labor markets are yet to be realized for most women, especially those in rural areas. Rather than promote political equality and improve women’s livelihoods, nationalist leaders made little effort to guarantee women’s economic independence.</w:t>
      </w:r>
    </w:p>
    <w:p w14:paraId="6EF35457" w14:textId="77777777" w:rsidR="005E075C" w:rsidRDefault="005E075C" w:rsidP="005E075C">
      <w:pPr>
        <w:autoSpaceDE w:val="0"/>
        <w:autoSpaceDN w:val="0"/>
        <w:adjustRightInd w:val="0"/>
        <w:spacing w:line="360" w:lineRule="auto"/>
        <w:rPr>
          <w:rFonts w:eastAsiaTheme="minorHAnsi"/>
          <w:color w:val="000000"/>
          <w:szCs w:val="24"/>
          <w:lang w:val="en-US"/>
        </w:rPr>
      </w:pPr>
    </w:p>
    <w:p w14:paraId="344C6AA2" w14:textId="39939CCE" w:rsidR="00FC763A" w:rsidRDefault="00FC763A" w:rsidP="005E075C">
      <w:pPr>
        <w:autoSpaceDE w:val="0"/>
        <w:autoSpaceDN w:val="0"/>
        <w:adjustRightInd w:val="0"/>
        <w:spacing w:line="360" w:lineRule="auto"/>
        <w:rPr>
          <w:rFonts w:eastAsiaTheme="minorHAnsi"/>
          <w:color w:val="000000"/>
          <w:szCs w:val="24"/>
          <w:lang w:val="en-US"/>
        </w:rPr>
      </w:pPr>
      <w:r w:rsidRPr="00FC763A">
        <w:rPr>
          <w:rFonts w:eastAsiaTheme="minorHAnsi"/>
          <w:color w:val="000000"/>
          <w:szCs w:val="24"/>
          <w:lang w:val="en-US"/>
        </w:rPr>
        <w:t xml:space="preserve">With the advent of neoliberalism, </w:t>
      </w:r>
      <w:proofErr w:type="gramStart"/>
      <w:r w:rsidRPr="00FC763A">
        <w:rPr>
          <w:rFonts w:eastAsiaTheme="minorHAnsi"/>
          <w:color w:val="000000"/>
          <w:szCs w:val="24"/>
          <w:lang w:val="en-US"/>
        </w:rPr>
        <w:t>in particular with</w:t>
      </w:r>
      <w:proofErr w:type="gramEnd"/>
      <w:r w:rsidRPr="00FC763A">
        <w:rPr>
          <w:rFonts w:eastAsiaTheme="minorHAnsi"/>
          <w:color w:val="000000"/>
          <w:szCs w:val="24"/>
          <w:lang w:val="en-US"/>
        </w:rPr>
        <w:t xml:space="preserve"> the introduction of structural adjustment programs (SAPs) in the 1980s, not only do women in rural areas contend with the economic structures in their societies that perpetuate existing gender inequality but also with the foreign multinational institutions, including the International Monetary Fund (IMF) and World Bank, that African states depend on for financial assistance. The policies put forth by these financial institutions are often imbued with many of the same biases against women.</w:t>
      </w:r>
    </w:p>
    <w:p w14:paraId="04833BA3" w14:textId="77777777" w:rsidR="005E075C" w:rsidRPr="00FC763A" w:rsidRDefault="005E075C" w:rsidP="005E075C">
      <w:pPr>
        <w:autoSpaceDE w:val="0"/>
        <w:autoSpaceDN w:val="0"/>
        <w:adjustRightInd w:val="0"/>
        <w:spacing w:line="360" w:lineRule="auto"/>
        <w:rPr>
          <w:rFonts w:eastAsiaTheme="minorHAnsi"/>
          <w:color w:val="000000"/>
          <w:szCs w:val="24"/>
          <w:lang w:val="en-US"/>
        </w:rPr>
      </w:pPr>
    </w:p>
    <w:p w14:paraId="72A39A98" w14:textId="77777777" w:rsidR="00FC763A" w:rsidRPr="00FC763A" w:rsidRDefault="00FC763A" w:rsidP="005E075C">
      <w:pPr>
        <w:autoSpaceDE w:val="0"/>
        <w:autoSpaceDN w:val="0"/>
        <w:adjustRightInd w:val="0"/>
        <w:spacing w:line="360" w:lineRule="auto"/>
        <w:rPr>
          <w:rFonts w:eastAsiaTheme="minorHAnsi"/>
          <w:color w:val="000000"/>
          <w:szCs w:val="24"/>
          <w:lang w:val="en-US"/>
        </w:rPr>
      </w:pPr>
      <w:r w:rsidRPr="00FC763A">
        <w:rPr>
          <w:rFonts w:eastAsiaTheme="minorHAnsi"/>
          <w:color w:val="000000"/>
          <w:szCs w:val="24"/>
          <w:lang w:val="en-US"/>
        </w:rPr>
        <w:t xml:space="preserve">Capitalism significantly altered local economies leading to private ownership, nonagricultural employment, waged labor, and replacement of subsistence farming with a cash-crop economy. The shifts in the economies also meant that land and capital were concentrated in the hands of a few. </w:t>
      </w:r>
      <w:proofErr w:type="gramStart"/>
      <w:r w:rsidRPr="00FC763A">
        <w:rPr>
          <w:rFonts w:eastAsiaTheme="minorHAnsi"/>
          <w:color w:val="000000"/>
          <w:szCs w:val="24"/>
          <w:lang w:val="en-US"/>
        </w:rPr>
        <w:t>All of</w:t>
      </w:r>
      <w:proofErr w:type="gramEnd"/>
      <w:r w:rsidRPr="00FC763A">
        <w:rPr>
          <w:rFonts w:eastAsiaTheme="minorHAnsi"/>
          <w:color w:val="000000"/>
          <w:szCs w:val="24"/>
          <w:lang w:val="en-US"/>
        </w:rPr>
        <w:t xml:space="preserve"> these changes reinforced not only the division of labor between men and women but also put a significant burden on women whose labor was crucial for the survival of the family in the face of declining wages earned by men.</w:t>
      </w:r>
    </w:p>
    <w:p w14:paraId="3A5F258B" w14:textId="77777777" w:rsidR="005E075C" w:rsidRDefault="005E075C" w:rsidP="005E075C">
      <w:pPr>
        <w:autoSpaceDE w:val="0"/>
        <w:autoSpaceDN w:val="0"/>
        <w:adjustRightInd w:val="0"/>
        <w:spacing w:line="360" w:lineRule="auto"/>
        <w:rPr>
          <w:rFonts w:eastAsiaTheme="minorHAnsi"/>
          <w:color w:val="000000"/>
          <w:szCs w:val="24"/>
          <w:lang w:val="en-US"/>
        </w:rPr>
      </w:pPr>
    </w:p>
    <w:p w14:paraId="096EBFF2" w14:textId="07F76EB7" w:rsidR="00FC763A" w:rsidRPr="00FC763A" w:rsidRDefault="00FC763A" w:rsidP="005E075C">
      <w:pPr>
        <w:autoSpaceDE w:val="0"/>
        <w:autoSpaceDN w:val="0"/>
        <w:adjustRightInd w:val="0"/>
        <w:spacing w:line="360" w:lineRule="auto"/>
        <w:rPr>
          <w:rFonts w:eastAsiaTheme="minorHAnsi"/>
          <w:color w:val="000000"/>
          <w:szCs w:val="24"/>
          <w:lang w:val="en-US"/>
        </w:rPr>
      </w:pPr>
      <w:r w:rsidRPr="00FC763A">
        <w:rPr>
          <w:rFonts w:eastAsiaTheme="minorHAnsi"/>
          <w:color w:val="000000"/>
          <w:szCs w:val="24"/>
          <w:lang w:val="en-US"/>
        </w:rPr>
        <w:t xml:space="preserve">Nonetheless, African women have not given up fighting for the betterment of their lives nor passively accepted the economic challenges they face. Over the past fifty years both formal and informal women’s organizations aimed at boosting women’s economic productivity and financial stability have flourished. From Southern Africa to West Africa, women have been proactive by forming grassroots self-help groups and demanding their governments and development agencies provide micro-financial services. These grassroots organizations provide much-needed economic </w:t>
      </w:r>
      <w:r w:rsidRPr="00FC763A">
        <w:rPr>
          <w:rFonts w:eastAsiaTheme="minorHAnsi"/>
          <w:color w:val="000000"/>
          <w:szCs w:val="24"/>
          <w:lang w:val="en-US"/>
        </w:rPr>
        <w:lastRenderedPageBreak/>
        <w:t>assistance to members, such as credit for farming or small business ventures or other forms of mutual assistance. For many women, joining women’s groups is a way for them to not only access and achieve economic power. Women’s groups also offer an avenue for building women’s self-confidence and empowerment.</w:t>
      </w:r>
    </w:p>
    <w:p w14:paraId="21B3B47F" w14:textId="77777777" w:rsidR="005E075C" w:rsidRDefault="005E075C" w:rsidP="005E075C">
      <w:pPr>
        <w:autoSpaceDE w:val="0"/>
        <w:autoSpaceDN w:val="0"/>
        <w:adjustRightInd w:val="0"/>
        <w:spacing w:line="360" w:lineRule="auto"/>
        <w:rPr>
          <w:rFonts w:eastAsiaTheme="minorHAnsi"/>
          <w:color w:val="000000"/>
          <w:szCs w:val="24"/>
          <w:lang w:val="en-US"/>
        </w:rPr>
      </w:pPr>
    </w:p>
    <w:p w14:paraId="78C64ACD" w14:textId="6F300EC6" w:rsidR="00FC763A" w:rsidRPr="00FC763A" w:rsidRDefault="00FC763A" w:rsidP="005E075C">
      <w:pPr>
        <w:autoSpaceDE w:val="0"/>
        <w:autoSpaceDN w:val="0"/>
        <w:adjustRightInd w:val="0"/>
        <w:spacing w:line="360" w:lineRule="auto"/>
        <w:rPr>
          <w:rFonts w:eastAsiaTheme="minorHAnsi"/>
          <w:color w:val="000000"/>
          <w:szCs w:val="24"/>
          <w:lang w:val="en-US"/>
        </w:rPr>
      </w:pPr>
      <w:r w:rsidRPr="00FC763A">
        <w:rPr>
          <w:rFonts w:eastAsiaTheme="minorHAnsi"/>
          <w:color w:val="000000"/>
          <w:szCs w:val="24"/>
          <w:lang w:val="en-US"/>
        </w:rPr>
        <w:t xml:space="preserve">In the 21st century, mobile banking information and communication technologies (ICTs) have been useful in allowing poor communities, </w:t>
      </w:r>
      <w:proofErr w:type="gramStart"/>
      <w:r w:rsidRPr="00FC763A">
        <w:rPr>
          <w:rFonts w:eastAsiaTheme="minorHAnsi"/>
          <w:color w:val="000000"/>
          <w:szCs w:val="24"/>
          <w:lang w:val="en-US"/>
        </w:rPr>
        <w:t>women in particular, to</w:t>
      </w:r>
      <w:proofErr w:type="gramEnd"/>
      <w:r w:rsidRPr="00FC763A">
        <w:rPr>
          <w:rFonts w:eastAsiaTheme="minorHAnsi"/>
          <w:color w:val="000000"/>
          <w:szCs w:val="24"/>
          <w:lang w:val="en-US"/>
        </w:rPr>
        <w:t xml:space="preserve"> access banking services that were initially difficult to access. Kenya provides a good example of the ways that mobile banking through M-</w:t>
      </w:r>
      <w:proofErr w:type="spellStart"/>
      <w:r w:rsidRPr="00FC763A">
        <w:rPr>
          <w:rFonts w:eastAsiaTheme="minorHAnsi"/>
          <w:color w:val="000000"/>
          <w:szCs w:val="24"/>
          <w:lang w:val="en-US"/>
        </w:rPr>
        <w:t>Pesa</w:t>
      </w:r>
      <w:proofErr w:type="spellEnd"/>
      <w:r w:rsidRPr="00FC763A">
        <w:rPr>
          <w:rFonts w:eastAsiaTheme="minorHAnsi"/>
          <w:color w:val="000000"/>
          <w:szCs w:val="24"/>
          <w:lang w:val="en-US"/>
        </w:rPr>
        <w:t xml:space="preserve"> services has brought significant changes to women, especially those in rural areas and those living in urban informal settlements. Women now </w:t>
      </w:r>
      <w:proofErr w:type="gramStart"/>
      <w:r w:rsidRPr="00FC763A">
        <w:rPr>
          <w:rFonts w:eastAsiaTheme="minorHAnsi"/>
          <w:color w:val="000000"/>
          <w:szCs w:val="24"/>
          <w:lang w:val="en-US"/>
        </w:rPr>
        <w:t>have the ability to</w:t>
      </w:r>
      <w:proofErr w:type="gramEnd"/>
      <w:r w:rsidRPr="00FC763A">
        <w:rPr>
          <w:rFonts w:eastAsiaTheme="minorHAnsi"/>
          <w:color w:val="000000"/>
          <w:szCs w:val="24"/>
          <w:lang w:val="en-US"/>
        </w:rPr>
        <w:t xml:space="preserve"> access funds and save money, which enables them to help their families; open and expand small businesses; and more importantly, send their children to school.</w:t>
      </w:r>
    </w:p>
    <w:p w14:paraId="6A309AE6" w14:textId="77777777" w:rsidR="00FC763A" w:rsidRPr="00FC763A" w:rsidRDefault="00FC763A" w:rsidP="005E075C">
      <w:pPr>
        <w:autoSpaceDE w:val="0"/>
        <w:autoSpaceDN w:val="0"/>
        <w:adjustRightInd w:val="0"/>
        <w:spacing w:line="360" w:lineRule="auto"/>
        <w:rPr>
          <w:rFonts w:eastAsiaTheme="minorHAnsi"/>
          <w:color w:val="000000"/>
          <w:szCs w:val="24"/>
          <w:lang w:val="en-US"/>
        </w:rPr>
      </w:pPr>
    </w:p>
    <w:p w14:paraId="65B35048" w14:textId="77777777" w:rsidR="00FC763A" w:rsidRPr="00FC763A" w:rsidRDefault="00FC763A" w:rsidP="005E075C">
      <w:pPr>
        <w:autoSpaceDE w:val="0"/>
        <w:autoSpaceDN w:val="0"/>
        <w:adjustRightInd w:val="0"/>
        <w:spacing w:line="360" w:lineRule="auto"/>
        <w:rPr>
          <w:rFonts w:eastAsiaTheme="minorHAnsi"/>
          <w:color w:val="000000"/>
          <w:szCs w:val="24"/>
          <w:lang w:val="en-US"/>
        </w:rPr>
      </w:pPr>
      <w:r w:rsidRPr="00FC763A">
        <w:rPr>
          <w:rFonts w:eastAsiaTheme="minorHAnsi"/>
          <w:color w:val="000000"/>
          <w:szCs w:val="24"/>
          <w:lang w:val="en-US"/>
        </w:rPr>
        <w:t>Women and Social Media Activism</w:t>
      </w:r>
    </w:p>
    <w:p w14:paraId="347AA7C6" w14:textId="2B1BB51F" w:rsidR="0044430B" w:rsidRDefault="00FC763A" w:rsidP="005E075C">
      <w:pPr>
        <w:spacing w:after="160" w:line="360" w:lineRule="auto"/>
        <w:rPr>
          <w:szCs w:val="24"/>
        </w:rPr>
      </w:pPr>
      <w:r w:rsidRPr="005E075C">
        <w:rPr>
          <w:rFonts w:eastAsiaTheme="minorHAnsi"/>
          <w:color w:val="000000"/>
          <w:szCs w:val="24"/>
          <w:lang w:val="en-US"/>
        </w:rPr>
        <w:t xml:space="preserve">While the relationship between social movements and the use of technology is not new, the decade from 2010–2020 has witnessed an increase in how activists use new technology to mobilize both nationally and transnationally. The widespread use of mobile phones in Africa has enabled African societies to “leapfrog” over the landline stage of telecommunication. More importantly, social networks such as Twitter and Facebook, as well as messaging platforms such as </w:t>
      </w:r>
      <w:proofErr w:type="spellStart"/>
      <w:r w:rsidRPr="005E075C">
        <w:rPr>
          <w:rFonts w:eastAsiaTheme="minorHAnsi"/>
          <w:color w:val="000000"/>
          <w:szCs w:val="24"/>
          <w:lang w:val="en-US"/>
        </w:rPr>
        <w:t>Whatsapp</w:t>
      </w:r>
      <w:proofErr w:type="spellEnd"/>
      <w:r w:rsidRPr="005E075C">
        <w:rPr>
          <w:rFonts w:eastAsiaTheme="minorHAnsi"/>
          <w:color w:val="000000"/>
          <w:szCs w:val="24"/>
          <w:lang w:val="en-US"/>
        </w:rPr>
        <w:t>, have become crucial sites for protesting, mobilizing activists, and influencing mainstream media agendas.</w:t>
      </w:r>
      <w:r w:rsidR="0044430B">
        <w:rPr>
          <w:szCs w:val="24"/>
        </w:rPr>
        <w:br w:type="page"/>
      </w:r>
    </w:p>
    <w:p w14:paraId="3083BBF7" w14:textId="23D20545" w:rsidR="0044430B" w:rsidRPr="008829AB" w:rsidRDefault="0044430B" w:rsidP="008829AB">
      <w:pPr>
        <w:spacing w:line="360" w:lineRule="auto"/>
        <w:rPr>
          <w:color w:val="000000"/>
          <w:szCs w:val="24"/>
        </w:rPr>
      </w:pPr>
      <w:r w:rsidRPr="008829AB">
        <w:rPr>
          <w:color w:val="000000"/>
          <w:szCs w:val="24"/>
        </w:rPr>
        <w:lastRenderedPageBreak/>
        <w:t>AFRICAN FEMINISMS.</w:t>
      </w:r>
    </w:p>
    <w:p w14:paraId="02A064C4" w14:textId="05DD39B7" w:rsidR="008658D9" w:rsidRPr="008658D9" w:rsidRDefault="008658D9" w:rsidP="008829AB">
      <w:pPr>
        <w:autoSpaceDE w:val="0"/>
        <w:autoSpaceDN w:val="0"/>
        <w:adjustRightInd w:val="0"/>
        <w:spacing w:line="360" w:lineRule="auto"/>
        <w:rPr>
          <w:rFonts w:eastAsiaTheme="minorHAnsi"/>
          <w:color w:val="000000"/>
          <w:szCs w:val="24"/>
          <w:lang w:val="en-US"/>
        </w:rPr>
      </w:pPr>
      <w:r w:rsidRPr="008829AB">
        <w:rPr>
          <w:rFonts w:eastAsiaTheme="minorHAnsi"/>
          <w:color w:val="000000"/>
          <w:szCs w:val="24"/>
          <w:lang w:val="en-US"/>
        </w:rPr>
        <w:t>From “</w:t>
      </w:r>
      <w:r w:rsidRPr="008658D9">
        <w:rPr>
          <w:rFonts w:eastAsiaTheme="minorHAnsi"/>
          <w:color w:val="000000"/>
          <w:szCs w:val="24"/>
          <w:lang w:val="en-US"/>
        </w:rPr>
        <w:t>African Feminist Thought</w:t>
      </w:r>
      <w:r w:rsidRPr="008829AB">
        <w:rPr>
          <w:rFonts w:eastAsiaTheme="minorHAnsi"/>
          <w:color w:val="000000"/>
          <w:szCs w:val="24"/>
          <w:lang w:val="en-US"/>
        </w:rPr>
        <w:t xml:space="preserve">”, by </w:t>
      </w:r>
      <w:r w:rsidRPr="008658D9">
        <w:rPr>
          <w:rFonts w:eastAsiaTheme="minorHAnsi"/>
          <w:color w:val="000000"/>
          <w:szCs w:val="24"/>
          <w:lang w:val="en-US"/>
        </w:rPr>
        <w:t>Amina Mama, Gender, Sexuality, and Women's Studies, UC Davis</w:t>
      </w:r>
      <w:r w:rsidRPr="008829AB">
        <w:rPr>
          <w:rFonts w:eastAsiaTheme="minorHAnsi"/>
          <w:color w:val="000000"/>
          <w:szCs w:val="24"/>
          <w:lang w:val="en-US"/>
        </w:rPr>
        <w:t xml:space="preserve">, </w:t>
      </w:r>
      <w:r w:rsidR="008829AB" w:rsidRPr="008829AB">
        <w:rPr>
          <w:rFonts w:eastAsiaTheme="minorHAnsi"/>
          <w:color w:val="000000"/>
          <w:szCs w:val="24"/>
          <w:lang w:val="en-US"/>
        </w:rPr>
        <w:t xml:space="preserve">in </w:t>
      </w:r>
      <w:r w:rsidR="008829AB" w:rsidRPr="008829AB">
        <w:rPr>
          <w:szCs w:val="24"/>
        </w:rPr>
        <w:t xml:space="preserve">Research on Women, Gender, and Sexuality, in </w:t>
      </w:r>
      <w:r w:rsidR="008829AB" w:rsidRPr="008829AB">
        <w:rPr>
          <w:i/>
          <w:iCs/>
          <w:szCs w:val="24"/>
        </w:rPr>
        <w:t xml:space="preserve">Oxford Research </w:t>
      </w:r>
      <w:proofErr w:type="spellStart"/>
      <w:r w:rsidR="008829AB" w:rsidRPr="008829AB">
        <w:rPr>
          <w:i/>
          <w:iCs/>
          <w:szCs w:val="24"/>
        </w:rPr>
        <w:t>Encyclopedia</w:t>
      </w:r>
      <w:proofErr w:type="spellEnd"/>
      <w:r w:rsidR="008829AB" w:rsidRPr="008829AB">
        <w:rPr>
          <w:i/>
          <w:iCs/>
          <w:szCs w:val="24"/>
        </w:rPr>
        <w:t xml:space="preserve"> of African History</w:t>
      </w:r>
      <w:r w:rsidR="008829AB" w:rsidRPr="008829AB">
        <w:rPr>
          <w:szCs w:val="24"/>
        </w:rPr>
        <w:t>,</w:t>
      </w:r>
      <w:r w:rsidR="008829AB" w:rsidRPr="008829AB">
        <w:rPr>
          <w:szCs w:val="24"/>
        </w:rPr>
        <w:t xml:space="preserve"> published online 2019, </w:t>
      </w:r>
      <w:r w:rsidRPr="008658D9">
        <w:rPr>
          <w:rFonts w:eastAsiaTheme="minorHAnsi"/>
          <w:color w:val="000000"/>
          <w:szCs w:val="24"/>
          <w:lang w:val="en-US"/>
        </w:rPr>
        <w:t>https://doi.org/10.1093/acrefore/9780190277734.013.504</w:t>
      </w:r>
    </w:p>
    <w:p w14:paraId="70F6F3EC" w14:textId="77777777" w:rsidR="00B84296" w:rsidRPr="00B84296" w:rsidRDefault="00B84296" w:rsidP="008829AB">
      <w:pPr>
        <w:autoSpaceDE w:val="0"/>
        <w:autoSpaceDN w:val="0"/>
        <w:adjustRightInd w:val="0"/>
        <w:spacing w:line="360" w:lineRule="auto"/>
        <w:rPr>
          <w:rFonts w:eastAsiaTheme="minorHAnsi"/>
          <w:color w:val="000000"/>
          <w:szCs w:val="24"/>
          <w:lang w:val="en-US"/>
        </w:rPr>
      </w:pPr>
    </w:p>
    <w:p w14:paraId="28E8DD9A" w14:textId="4334CCE5" w:rsidR="000E3D67" w:rsidRPr="008829AB" w:rsidRDefault="00B84296" w:rsidP="008829AB">
      <w:pPr>
        <w:pStyle w:val="Default"/>
        <w:spacing w:line="360" w:lineRule="auto"/>
        <w:rPr>
          <w:rFonts w:ascii="Times New Roman" w:hAnsi="Times New Roman" w:cs="Times New Roman"/>
        </w:rPr>
      </w:pPr>
      <w:r w:rsidRPr="008829AB">
        <w:rPr>
          <w:rFonts w:ascii="Times New Roman" w:hAnsi="Times New Roman" w:cs="Times New Roman"/>
        </w:rPr>
        <w:t>Most African feminist thought is not written, and the epistemological conditions of its existence demand that our conceptualization of “thinking” extends beyond intellectual discourses. Beyond scholarly texts, thought is widely communicated through the performance arts, visual culture, fashion and style, and bodily expression are all shared through education systems. As these are often androcentric, feminist consciousness-raising and feminist educational strategies have been key to mobilizing women’s movements and educating the public. African feminists are developing their own</w:t>
      </w:r>
      <w:r w:rsidR="000E3D67" w:rsidRPr="008829AB">
        <w:rPr>
          <w:rFonts w:ascii="Times New Roman" w:hAnsi="Times New Roman" w:cs="Times New Roman"/>
        </w:rPr>
        <w:t xml:space="preserve"> </w:t>
      </w:r>
      <w:r w:rsidR="000E3D67" w:rsidRPr="000E3D67">
        <w:rPr>
          <w:rFonts w:ascii="Times New Roman" w:hAnsi="Times New Roman" w:cs="Times New Roman"/>
        </w:rPr>
        <w:t>versions of gender and women’s studies in the continental educational systems, and have established information and communication networks, for example the Nairobi-based FEMNET, writers collectives like the Kampala-based FEMRITE, and publications, Feminist Africa, all of which take advantage of digital and social media applications which are key to feminist imagining and networking to make movements with the structures and capacities to influence, advocate, and achieve change.</w:t>
      </w:r>
    </w:p>
    <w:p w14:paraId="5BA532F3" w14:textId="77777777" w:rsidR="000E3D67" w:rsidRPr="000E3D67" w:rsidRDefault="000E3D67" w:rsidP="008829AB">
      <w:pPr>
        <w:pStyle w:val="Default"/>
        <w:spacing w:line="360" w:lineRule="auto"/>
        <w:rPr>
          <w:rFonts w:ascii="Times New Roman" w:hAnsi="Times New Roman" w:cs="Times New Roman"/>
        </w:rPr>
      </w:pPr>
    </w:p>
    <w:p w14:paraId="4B20EF8C" w14:textId="4513967D" w:rsidR="00B84296" w:rsidRPr="008829AB" w:rsidRDefault="001F6368" w:rsidP="008829AB">
      <w:pPr>
        <w:spacing w:line="360" w:lineRule="auto"/>
        <w:rPr>
          <w:rFonts w:eastAsiaTheme="minorHAnsi"/>
          <w:color w:val="000000"/>
          <w:szCs w:val="24"/>
          <w:lang w:val="en-US"/>
        </w:rPr>
      </w:pPr>
      <w:r w:rsidRPr="008829AB">
        <w:rPr>
          <w:rFonts w:eastAsiaTheme="minorHAnsi"/>
          <w:color w:val="000000"/>
          <w:szCs w:val="24"/>
          <w:lang w:val="en-US"/>
        </w:rPr>
        <w:t xml:space="preserve"> … </w:t>
      </w:r>
      <w:r w:rsidR="000E3D67" w:rsidRPr="008829AB">
        <w:rPr>
          <w:rFonts w:eastAsiaTheme="minorHAnsi"/>
          <w:color w:val="000000"/>
          <w:szCs w:val="24"/>
          <w:lang w:val="en-US"/>
        </w:rPr>
        <w:t xml:space="preserve">The will to cultural self-definition and determination is very evident in African feminist thought, which sets out to sabotage the insistence that “feminism is un-African,” in the first instance by their style. The visual evidence of African feminist fashion choices illustrates a movement that has cultivated the art of self-definition and self-determination, in a manner that embodies and advances a revolutionary understanding of culture. This includes wellness, freedom, and modes of self-expression that parody, subvert, and resist conservatism. They repudiate oppressive and harmful practices and cultivate psychosexual and political liberation. </w:t>
      </w:r>
      <w:r w:rsidR="001E537B" w:rsidRPr="008829AB">
        <w:rPr>
          <w:rFonts w:eastAsiaTheme="minorHAnsi"/>
          <w:color w:val="000000"/>
          <w:szCs w:val="24"/>
          <w:lang w:val="en-US"/>
        </w:rPr>
        <w:t>…</w:t>
      </w:r>
    </w:p>
    <w:p w14:paraId="1B810BAF" w14:textId="123FBC79" w:rsidR="001E537B" w:rsidRDefault="001E537B" w:rsidP="000E3D67">
      <w:pPr>
        <w:spacing w:line="480" w:lineRule="auto"/>
        <w:rPr>
          <w:color w:val="000000"/>
        </w:rPr>
      </w:pPr>
    </w:p>
    <w:p w14:paraId="322E239B" w14:textId="77777777" w:rsidR="008829AB" w:rsidRDefault="008829AB" w:rsidP="000E3D67">
      <w:pPr>
        <w:spacing w:line="480" w:lineRule="auto"/>
        <w:rPr>
          <w:color w:val="000000"/>
        </w:rPr>
      </w:pPr>
    </w:p>
    <w:p w14:paraId="5ABEF3F1" w14:textId="704209ED" w:rsidR="009143BC" w:rsidRPr="00E53715" w:rsidRDefault="009143BC" w:rsidP="009C00F7">
      <w:pPr>
        <w:spacing w:line="480" w:lineRule="auto"/>
        <w:rPr>
          <w:color w:val="000000"/>
        </w:rPr>
      </w:pPr>
      <w:proofErr w:type="spellStart"/>
      <w:r>
        <w:rPr>
          <w:color w:val="000000"/>
        </w:rPr>
        <w:lastRenderedPageBreak/>
        <w:t>Molara</w:t>
      </w:r>
      <w:proofErr w:type="spellEnd"/>
      <w:r>
        <w:rPr>
          <w:color w:val="000000"/>
        </w:rPr>
        <w:t xml:space="preserve"> </w:t>
      </w:r>
      <w:proofErr w:type="spellStart"/>
      <w:r>
        <w:rPr>
          <w:color w:val="000000"/>
        </w:rPr>
        <w:t>Ogundipe</w:t>
      </w:r>
      <w:proofErr w:type="spellEnd"/>
      <w:r>
        <w:rPr>
          <w:color w:val="000000"/>
        </w:rPr>
        <w:t>-Leslie, “</w:t>
      </w:r>
      <w:proofErr w:type="spellStart"/>
      <w:r>
        <w:rPr>
          <w:color w:val="000000"/>
        </w:rPr>
        <w:t>Stiwanism</w:t>
      </w:r>
      <w:proofErr w:type="spellEnd"/>
      <w:r>
        <w:rPr>
          <w:color w:val="000000"/>
        </w:rPr>
        <w:t xml:space="preserve">. Feminism in an African Context”, in </w:t>
      </w:r>
      <w:r>
        <w:rPr>
          <w:i/>
          <w:iCs/>
          <w:color w:val="000000"/>
        </w:rPr>
        <w:t>African Literature: An Anthology of Criticism and Theory</w:t>
      </w:r>
      <w:r>
        <w:rPr>
          <w:color w:val="000000"/>
        </w:rPr>
        <w:t xml:space="preserve">, ed. </w:t>
      </w:r>
      <w:proofErr w:type="spellStart"/>
      <w:r>
        <w:rPr>
          <w:color w:val="000000"/>
        </w:rPr>
        <w:t>Tejumola</w:t>
      </w:r>
      <w:proofErr w:type="spellEnd"/>
      <w:r>
        <w:rPr>
          <w:color w:val="000000"/>
        </w:rPr>
        <w:t xml:space="preserve"> Olaniyan and </w:t>
      </w:r>
      <w:proofErr w:type="spellStart"/>
      <w:r>
        <w:rPr>
          <w:color w:val="000000"/>
        </w:rPr>
        <w:t>Ato</w:t>
      </w:r>
      <w:proofErr w:type="spellEnd"/>
      <w:r>
        <w:rPr>
          <w:color w:val="000000"/>
        </w:rPr>
        <w:t xml:space="preserve"> </w:t>
      </w:r>
      <w:proofErr w:type="spellStart"/>
      <w:r>
        <w:rPr>
          <w:color w:val="000000"/>
        </w:rPr>
        <w:t>Quayson</w:t>
      </w:r>
      <w:proofErr w:type="spellEnd"/>
      <w:r>
        <w:rPr>
          <w:color w:val="000000"/>
        </w:rPr>
        <w:t xml:space="preserve"> (Oxford: Blackwell, 2007)</w:t>
      </w:r>
      <w:r w:rsidR="003E4DF0">
        <w:rPr>
          <w:color w:val="000000"/>
        </w:rPr>
        <w:t>, p. 549:</w:t>
      </w:r>
    </w:p>
    <w:p w14:paraId="752EDC3F" w14:textId="77777777" w:rsidR="003029D5" w:rsidRDefault="00C77697">
      <w:pPr>
        <w:spacing w:after="160" w:line="259" w:lineRule="auto"/>
      </w:pPr>
      <w:r w:rsidRPr="00C77697">
        <w:rPr>
          <w:noProof/>
        </w:rPr>
        <w:drawing>
          <wp:inline distT="0" distB="0" distL="0" distR="0" wp14:anchorId="020443A0" wp14:editId="71CCB1D7">
            <wp:extent cx="5943600" cy="50066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5006656"/>
                    </a:xfrm>
                    <a:prstGeom prst="rect">
                      <a:avLst/>
                    </a:prstGeom>
                    <a:noFill/>
                    <a:ln>
                      <a:noFill/>
                    </a:ln>
                  </pic:spPr>
                </pic:pic>
              </a:graphicData>
            </a:graphic>
          </wp:inline>
        </w:drawing>
      </w:r>
    </w:p>
    <w:p w14:paraId="3CB0D458" w14:textId="77777777" w:rsidR="009143BC" w:rsidRDefault="009143BC" w:rsidP="009143BC">
      <w:pPr>
        <w:spacing w:line="480" w:lineRule="auto"/>
        <w:rPr>
          <w:color w:val="000000"/>
        </w:rPr>
      </w:pPr>
    </w:p>
    <w:p w14:paraId="4E8BA68D" w14:textId="0E553069" w:rsidR="00C77697" w:rsidRDefault="00C77697">
      <w:pPr>
        <w:spacing w:after="160" w:line="259" w:lineRule="auto"/>
      </w:pPr>
      <w:r>
        <w:br w:type="page"/>
      </w:r>
    </w:p>
    <w:p w14:paraId="6362CAC6" w14:textId="7C517826" w:rsidR="00984630" w:rsidRDefault="007277C1" w:rsidP="00984630">
      <w:pPr>
        <w:spacing w:line="480" w:lineRule="auto"/>
        <w:ind w:firstLine="720"/>
      </w:pPr>
      <w:r w:rsidRPr="007277C1">
        <w:rPr>
          <w:noProof/>
        </w:rPr>
        <w:lastRenderedPageBreak/>
        <w:drawing>
          <wp:inline distT="0" distB="0" distL="0" distR="0" wp14:anchorId="742255E8" wp14:editId="744E564B">
            <wp:extent cx="5943600" cy="7693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5C7B4237" w14:textId="25531298" w:rsidR="007277C1" w:rsidRDefault="007277C1">
      <w:pPr>
        <w:spacing w:after="160" w:line="259" w:lineRule="auto"/>
      </w:pPr>
      <w:r>
        <w:br w:type="page"/>
      </w:r>
    </w:p>
    <w:p w14:paraId="7EFD19F8" w14:textId="4DCEE77E" w:rsidR="007277C1" w:rsidRDefault="00042CFF" w:rsidP="00984630">
      <w:pPr>
        <w:spacing w:line="480" w:lineRule="auto"/>
        <w:ind w:firstLine="720"/>
      </w:pPr>
      <w:r w:rsidRPr="00042CFF">
        <w:rPr>
          <w:noProof/>
        </w:rPr>
        <w:lastRenderedPageBreak/>
        <w:drawing>
          <wp:inline distT="0" distB="0" distL="0" distR="0" wp14:anchorId="7C704496" wp14:editId="1D3FB48C">
            <wp:extent cx="5943600" cy="6936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936105"/>
                    </a:xfrm>
                    <a:prstGeom prst="rect">
                      <a:avLst/>
                    </a:prstGeom>
                    <a:noFill/>
                    <a:ln>
                      <a:noFill/>
                    </a:ln>
                  </pic:spPr>
                </pic:pic>
              </a:graphicData>
            </a:graphic>
          </wp:inline>
        </w:drawing>
      </w:r>
    </w:p>
    <w:sectPr w:rsidR="007277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16B98" w14:textId="77777777" w:rsidR="00A55182" w:rsidRDefault="00A55182" w:rsidP="00984630">
      <w:r>
        <w:separator/>
      </w:r>
    </w:p>
  </w:endnote>
  <w:endnote w:type="continuationSeparator" w:id="0">
    <w:p w14:paraId="5F52659C" w14:textId="77777777" w:rsidR="00A55182" w:rsidRDefault="00A55182" w:rsidP="00984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0C348" w14:textId="77777777" w:rsidR="00A55182" w:rsidRDefault="00A55182" w:rsidP="00984630">
      <w:r>
        <w:separator/>
      </w:r>
    </w:p>
  </w:footnote>
  <w:footnote w:type="continuationSeparator" w:id="0">
    <w:p w14:paraId="5C69B9A9" w14:textId="77777777" w:rsidR="00A55182" w:rsidRDefault="00A55182" w:rsidP="009846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630"/>
    <w:rsid w:val="00042CFF"/>
    <w:rsid w:val="000E3D67"/>
    <w:rsid w:val="001E537B"/>
    <w:rsid w:val="001F6368"/>
    <w:rsid w:val="002C3CC9"/>
    <w:rsid w:val="002C62DD"/>
    <w:rsid w:val="003029D5"/>
    <w:rsid w:val="00387481"/>
    <w:rsid w:val="003E2655"/>
    <w:rsid w:val="003E4DF0"/>
    <w:rsid w:val="0044430B"/>
    <w:rsid w:val="00466709"/>
    <w:rsid w:val="005E075C"/>
    <w:rsid w:val="006B0F9B"/>
    <w:rsid w:val="006D31D3"/>
    <w:rsid w:val="007277C1"/>
    <w:rsid w:val="007E35E1"/>
    <w:rsid w:val="008658D9"/>
    <w:rsid w:val="00876B1C"/>
    <w:rsid w:val="008829AB"/>
    <w:rsid w:val="008F44FA"/>
    <w:rsid w:val="009143BC"/>
    <w:rsid w:val="00936613"/>
    <w:rsid w:val="00984630"/>
    <w:rsid w:val="009C00F7"/>
    <w:rsid w:val="00A55182"/>
    <w:rsid w:val="00B84296"/>
    <w:rsid w:val="00B85B35"/>
    <w:rsid w:val="00BC155E"/>
    <w:rsid w:val="00BE5767"/>
    <w:rsid w:val="00BE5C0A"/>
    <w:rsid w:val="00C658C7"/>
    <w:rsid w:val="00C77697"/>
    <w:rsid w:val="00CF5A33"/>
    <w:rsid w:val="00D628C0"/>
    <w:rsid w:val="00D82BC9"/>
    <w:rsid w:val="00E53715"/>
    <w:rsid w:val="00EA33E5"/>
    <w:rsid w:val="00F51447"/>
    <w:rsid w:val="00FC7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8DF66"/>
  <w15:chartTrackingRefBased/>
  <w15:docId w15:val="{2943E497-0394-4A36-9C7D-C1324C9F2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630"/>
    <w:pPr>
      <w:spacing w:after="0" w:line="240" w:lineRule="auto"/>
    </w:pPr>
    <w:rPr>
      <w:rFonts w:ascii="Times New Roman" w:eastAsia="Times New Roman" w:hAnsi="Times New Roman" w:cs="Times New Roman"/>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984630"/>
    <w:rPr>
      <w:sz w:val="20"/>
    </w:rPr>
  </w:style>
  <w:style w:type="character" w:customStyle="1" w:styleId="EndnoteTextChar">
    <w:name w:val="Endnote Text Char"/>
    <w:basedOn w:val="DefaultParagraphFont"/>
    <w:link w:val="EndnoteText"/>
    <w:semiHidden/>
    <w:rsid w:val="00984630"/>
    <w:rPr>
      <w:rFonts w:ascii="Times New Roman" w:eastAsia="Times New Roman" w:hAnsi="Times New Roman" w:cs="Times New Roman"/>
      <w:sz w:val="20"/>
      <w:szCs w:val="20"/>
      <w:lang w:val="en-GB"/>
    </w:rPr>
  </w:style>
  <w:style w:type="character" w:styleId="EndnoteReference">
    <w:name w:val="endnote reference"/>
    <w:semiHidden/>
    <w:rsid w:val="00984630"/>
    <w:rPr>
      <w:vertAlign w:val="superscript"/>
    </w:rPr>
  </w:style>
  <w:style w:type="paragraph" w:customStyle="1" w:styleId="Default">
    <w:name w:val="Default"/>
    <w:rsid w:val="00387481"/>
    <w:pPr>
      <w:autoSpaceDE w:val="0"/>
      <w:autoSpaceDN w:val="0"/>
      <w:adjustRightInd w:val="0"/>
      <w:spacing w:after="0" w:line="240" w:lineRule="auto"/>
    </w:pPr>
    <w:rPr>
      <w:rFonts w:ascii="Source Sans Pro" w:hAnsi="Source Sans Pro" w:cs="Source Sans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Laura</cp:lastModifiedBy>
  <cp:revision>35</cp:revision>
  <dcterms:created xsi:type="dcterms:W3CDTF">2021-05-04T15:42:00Z</dcterms:created>
  <dcterms:modified xsi:type="dcterms:W3CDTF">2021-05-04T17:09:00Z</dcterms:modified>
</cp:coreProperties>
</file>