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E04A" w14:textId="695A8915" w:rsidR="001F0466" w:rsidRPr="009B150E" w:rsidRDefault="00B02A37">
      <w:pPr>
        <w:pStyle w:val="Body"/>
        <w:rPr>
          <w:rFonts w:ascii="Garamond" w:eastAsia="Times New Roman" w:hAnsi="Garamond" w:cs="Times New Roman"/>
          <w:b/>
          <w:bCs/>
          <w:sz w:val="32"/>
          <w:szCs w:val="32"/>
        </w:rPr>
      </w:pPr>
      <w:r>
        <w:rPr>
          <w:rFonts w:ascii="Garamond" w:hAnsi="Garamond"/>
          <w:b/>
          <w:bCs/>
          <w:sz w:val="32"/>
          <w:szCs w:val="32"/>
        </w:rPr>
        <w:t xml:space="preserve">  </w:t>
      </w:r>
      <w:r w:rsidR="00B27A33" w:rsidRPr="009B150E">
        <w:rPr>
          <w:rFonts w:ascii="Garamond" w:hAnsi="Garamond"/>
          <w:b/>
          <w:bCs/>
          <w:sz w:val="32"/>
          <w:szCs w:val="32"/>
        </w:rPr>
        <w:t xml:space="preserve">Philosophy </w:t>
      </w:r>
      <w:r w:rsidR="007406EC" w:rsidRPr="009B150E">
        <w:rPr>
          <w:rFonts w:ascii="Garamond" w:hAnsi="Garamond"/>
          <w:b/>
          <w:bCs/>
          <w:sz w:val="32"/>
          <w:szCs w:val="32"/>
        </w:rPr>
        <w:t>102</w:t>
      </w:r>
      <w:r w:rsidR="00B27A33" w:rsidRPr="009B150E">
        <w:rPr>
          <w:rFonts w:ascii="Garamond" w:hAnsi="Garamond"/>
          <w:b/>
          <w:bCs/>
          <w:sz w:val="32"/>
          <w:szCs w:val="32"/>
        </w:rPr>
        <w:t>: Contemporary Moral Problems</w:t>
      </w:r>
      <w:r w:rsidR="007406EC" w:rsidRPr="009B150E">
        <w:rPr>
          <w:rStyle w:val="FootnoteReference"/>
          <w:rFonts w:ascii="Garamond" w:hAnsi="Garamond"/>
          <w:b/>
          <w:bCs/>
          <w:sz w:val="32"/>
          <w:szCs w:val="32"/>
        </w:rPr>
        <w:footnoteReference w:id="1"/>
      </w:r>
    </w:p>
    <w:p w14:paraId="224B29B0" w14:textId="2BBCBE19" w:rsidR="001F0466" w:rsidRPr="00665DAC" w:rsidRDefault="00B27A33">
      <w:pPr>
        <w:pStyle w:val="Body"/>
        <w:rPr>
          <w:rFonts w:ascii="Garamond" w:eastAsia="Times New Roman" w:hAnsi="Garamond" w:cs="Times New Roman"/>
          <w:b/>
          <w:bCs/>
          <w:sz w:val="24"/>
          <w:szCs w:val="24"/>
        </w:rPr>
      </w:pPr>
      <w:r w:rsidRPr="00665DAC">
        <w:rPr>
          <w:rFonts w:ascii="Garamond" w:hAnsi="Garamond"/>
          <w:b/>
          <w:bCs/>
          <w:sz w:val="24"/>
          <w:szCs w:val="24"/>
        </w:rPr>
        <w:t xml:space="preserve">Summer </w:t>
      </w:r>
      <w:r w:rsidR="00AE0540" w:rsidRPr="00665DAC">
        <w:rPr>
          <w:rFonts w:ascii="Garamond" w:hAnsi="Garamond"/>
          <w:b/>
          <w:bCs/>
          <w:sz w:val="24"/>
          <w:szCs w:val="24"/>
        </w:rPr>
        <w:t>202</w:t>
      </w:r>
      <w:r w:rsidR="00241489">
        <w:rPr>
          <w:rFonts w:ascii="Garamond" w:hAnsi="Garamond"/>
          <w:b/>
          <w:bCs/>
          <w:sz w:val="24"/>
          <w:szCs w:val="24"/>
        </w:rPr>
        <w:t>1 (A-Term)</w:t>
      </w:r>
      <w:r w:rsidRPr="00665DAC">
        <w:rPr>
          <w:rFonts w:ascii="Garamond" w:hAnsi="Garamond"/>
          <w:b/>
          <w:bCs/>
          <w:sz w:val="24"/>
          <w:szCs w:val="24"/>
        </w:rPr>
        <w:t xml:space="preserve"> - M/T/W/Th/F </w:t>
      </w:r>
      <w:r w:rsidR="001D1A1E">
        <w:rPr>
          <w:rFonts w:ascii="Garamond" w:hAnsi="Garamond"/>
          <w:b/>
          <w:bCs/>
          <w:sz w:val="24"/>
          <w:szCs w:val="24"/>
        </w:rPr>
        <w:t>9</w:t>
      </w:r>
      <w:r w:rsidR="00AE0540" w:rsidRPr="00665DAC">
        <w:rPr>
          <w:rFonts w:ascii="Garamond" w:hAnsi="Garamond"/>
          <w:b/>
          <w:bCs/>
          <w:sz w:val="24"/>
          <w:szCs w:val="24"/>
        </w:rPr>
        <w:t>:</w:t>
      </w:r>
      <w:r w:rsidR="001D1A1E">
        <w:rPr>
          <w:rFonts w:ascii="Garamond" w:hAnsi="Garamond"/>
          <w:b/>
          <w:bCs/>
          <w:sz w:val="24"/>
          <w:szCs w:val="24"/>
        </w:rPr>
        <w:t>4</w:t>
      </w:r>
      <w:r w:rsidR="00AE0540" w:rsidRPr="00665DAC">
        <w:rPr>
          <w:rFonts w:ascii="Garamond" w:hAnsi="Garamond"/>
          <w:b/>
          <w:bCs/>
          <w:sz w:val="24"/>
          <w:szCs w:val="24"/>
        </w:rPr>
        <w:t>0</w:t>
      </w:r>
      <w:r w:rsidR="001D1A1E">
        <w:rPr>
          <w:rFonts w:ascii="Garamond" w:hAnsi="Garamond"/>
          <w:b/>
          <w:bCs/>
          <w:sz w:val="24"/>
          <w:szCs w:val="24"/>
        </w:rPr>
        <w:t>am</w:t>
      </w:r>
      <w:r w:rsidR="00AE0540" w:rsidRPr="00665DAC">
        <w:rPr>
          <w:rFonts w:ascii="Garamond" w:hAnsi="Garamond"/>
          <w:b/>
          <w:bCs/>
          <w:sz w:val="24"/>
          <w:szCs w:val="24"/>
        </w:rPr>
        <w:t xml:space="preserve"> – </w:t>
      </w:r>
      <w:r w:rsidR="001D1A1E">
        <w:rPr>
          <w:rFonts w:ascii="Garamond" w:hAnsi="Garamond"/>
          <w:b/>
          <w:bCs/>
          <w:sz w:val="24"/>
          <w:szCs w:val="24"/>
        </w:rPr>
        <w:t>11</w:t>
      </w:r>
      <w:r w:rsidR="00AE0540" w:rsidRPr="00665DAC">
        <w:rPr>
          <w:rFonts w:ascii="Garamond" w:hAnsi="Garamond"/>
          <w:b/>
          <w:bCs/>
          <w:sz w:val="24"/>
          <w:szCs w:val="24"/>
        </w:rPr>
        <w:t>:</w:t>
      </w:r>
      <w:r w:rsidR="001D1A1E">
        <w:rPr>
          <w:rFonts w:ascii="Garamond" w:hAnsi="Garamond"/>
          <w:b/>
          <w:bCs/>
          <w:sz w:val="24"/>
          <w:szCs w:val="24"/>
        </w:rPr>
        <w:t xml:space="preserve">50am </w:t>
      </w:r>
      <w:r w:rsidR="00381D61">
        <w:rPr>
          <w:rFonts w:ascii="Garamond" w:hAnsi="Garamond"/>
          <w:b/>
          <w:bCs/>
          <w:sz w:val="24"/>
          <w:szCs w:val="24"/>
        </w:rPr>
        <w:t>PT</w:t>
      </w:r>
      <w:r w:rsidRPr="00665DAC">
        <w:rPr>
          <w:rFonts w:ascii="Garamond" w:eastAsia="Times New Roman" w:hAnsi="Garamond" w:cs="Times New Roman"/>
          <w:b/>
          <w:bCs/>
          <w:noProof/>
          <w:sz w:val="24"/>
          <w:szCs w:val="24"/>
        </w:rPr>
        <mc:AlternateContent>
          <mc:Choice Requires="wps">
            <w:drawing>
              <wp:anchor distT="152400" distB="152400" distL="152400" distR="152400" simplePos="0" relativeHeight="251659264" behindDoc="0" locked="0" layoutInCell="1" allowOverlap="1" wp14:anchorId="3E20885B" wp14:editId="011BEA4C">
                <wp:simplePos x="0" y="0"/>
                <wp:positionH relativeFrom="margin">
                  <wp:posOffset>-84338</wp:posOffset>
                </wp:positionH>
                <wp:positionV relativeFrom="line">
                  <wp:posOffset>223520</wp:posOffset>
                </wp:positionV>
                <wp:extent cx="6031114"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031114" cy="0"/>
                        </a:xfrm>
                        <a:prstGeom prst="line">
                          <a:avLst/>
                        </a:prstGeom>
                        <a:noFill/>
                        <a:ln w="6350" cap="flat">
                          <a:solidFill>
                            <a:srgbClr val="000000"/>
                          </a:solidFill>
                          <a:prstDash val="solid"/>
                          <a:miter lim="400000"/>
                        </a:ln>
                        <a:effectLst>
                          <a:reflection stA="50000" endPos="40000" dir="5400000" sy="-100000" algn="bl" rotWithShape="0"/>
                        </a:effectLst>
                      </wps:spPr>
                      <wps:bodyPr/>
                    </wps:wsp>
                  </a:graphicData>
                </a:graphic>
              </wp:anchor>
            </w:drawing>
          </mc:Choice>
          <mc:Fallback>
            <w:pict>
              <v:line w14:anchorId="59DB8397"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line" from="-6.65pt,17.6pt" to="468.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9I8wEAANADAAAOAAAAZHJzL2Uyb0RvYy54bWysU01v2zAMvQ/YfxB0b2znoy2MOEXRoLsM&#10;W4B16FmWJVuDvkBpcfLvR8lulq23YT7IIkU+kY9P24eT0eQoIChnG1otSkqE5a5Ttm/o95fnm3tK&#10;QmS2Y9pZ0dCzCPRh9/HDdvS1WLrB6U4AQRAb6tE3dIjR10UR+CAMCwvnhcVD6cCwiCb0RQdsRHSj&#10;i2VZ3hajg86D4yIE9O6nQ7rL+FIKHr9KGUQkuqFYW8wr5LVNa7HbsroH5gfF5zLYP1RhmLJ46QVq&#10;zyIjP0G9gzKKgwtOxgV3pnBSKi5yD9hNVf7VzbeBeZF7QXKCv9AU/h8s/3I8AFEdzq68W92tq/vl&#10;hhLLDM5qqu4RInHtD2QykTX6UGPOkz3AbAV/gNT5SYJJf8wip0zw+UKwOEXC0XlbrqqqWlPC386K&#10;34keQvwknCFp01CtbOqd1ez4OUS8DEPfQpLbumeldZ6ftmRE8NUGJ8wZqkhqFnNucFp1KS5lBOjb&#10;Jw3kyJIY8pdaQtw/wtIlexaGKS4fTTIxKqJWtTINXV9na5vQRVYblpoMEFIjY/goUP2PDd2k+PQ0&#10;uoPD6eV0SjqFStzMWCQgJzfVBEyY7vE9tZoScPFVxSFrYSYUK766rUgzmaaQdq3rznk42Y+yyR3O&#10;Ek+6vLZxf/0Qd78AAAD//wMAUEsDBBQABgAIAAAAIQDnFo7Q3wAAAAkBAAAPAAAAZHJzL2Rvd25y&#10;ZXYueG1sTI/BTsMwDIbvSLxDZCRuW7pVm0ZpOk1IiANChYF29hqvLTROSbK2vD1BHOBo+9Pv78+3&#10;k+nEQM63lhUs5gkI4srqlmsFb6/3sw0IH5A1dpZJwRd52BaXFzlm2o78QsM+1CKGsM9QQRNCn0np&#10;q4YM+rntiePtZJ3BEEdXS+1wjOGmk8skWUuDLccPDfZ011D1sT8bBVX5+eTK0+HgNs8P7+1ulFg+&#10;DkpdX027WxCBpvAHw49+VIciOh3tmbUXnYLZIk0jqiBdLUFE4CZdr0AcfxeyyOX/BsU3AAAA//8D&#10;AFBLAQItABQABgAIAAAAIQC2gziS/gAAAOEBAAATAAAAAAAAAAAAAAAAAAAAAABbQ29udGVudF9U&#10;eXBlc10ueG1sUEsBAi0AFAAGAAgAAAAhADj9If/WAAAAlAEAAAsAAAAAAAAAAAAAAAAALwEAAF9y&#10;ZWxzLy5yZWxzUEsBAi0AFAAGAAgAAAAhAPcrH0jzAQAA0AMAAA4AAAAAAAAAAAAAAAAALgIAAGRy&#10;cy9lMm9Eb2MueG1sUEsBAi0AFAAGAAgAAAAhAOcWjtDfAAAACQEAAA8AAAAAAAAAAAAAAAAATQQA&#10;AGRycy9kb3ducmV2LnhtbFBLBQYAAAAABAAEAPMAAABZBQAAAAA=&#10;" strokeweight=".5pt">
                <v:stroke miterlimit="4" joinstyle="miter"/>
                <w10:wrap type="topAndBottom" anchorx="margin" anchory="line"/>
              </v:line>
            </w:pict>
          </mc:Fallback>
        </mc:AlternateContent>
      </w:r>
    </w:p>
    <w:p w14:paraId="388AFE42" w14:textId="580A1ED7" w:rsidR="001F0466" w:rsidRPr="00665DAC" w:rsidRDefault="00B27A33">
      <w:pPr>
        <w:pStyle w:val="Body"/>
        <w:rPr>
          <w:rFonts w:ascii="Garamond" w:eastAsia="Times New Roman" w:hAnsi="Garamond" w:cs="Times New Roman"/>
          <w:sz w:val="24"/>
          <w:szCs w:val="24"/>
        </w:rPr>
      </w:pPr>
      <w:r w:rsidRPr="00665DAC">
        <w:rPr>
          <w:rFonts w:ascii="Garamond" w:hAnsi="Garamond"/>
          <w:b/>
          <w:bCs/>
          <w:sz w:val="24"/>
          <w:szCs w:val="24"/>
        </w:rPr>
        <w:t xml:space="preserve">Instructor: </w:t>
      </w:r>
      <w:r w:rsidR="007406EC" w:rsidRPr="00665DAC">
        <w:rPr>
          <w:rFonts w:ascii="Garamond" w:hAnsi="Garamond"/>
          <w:sz w:val="24"/>
          <w:szCs w:val="24"/>
        </w:rPr>
        <w:t>Arthur Obst</w:t>
      </w:r>
      <w:r w:rsidR="006031BD">
        <w:rPr>
          <w:rFonts w:ascii="Garamond" w:hAnsi="Garamond"/>
          <w:sz w:val="24"/>
          <w:szCs w:val="24"/>
        </w:rPr>
        <w:t>, M.A.</w:t>
      </w:r>
      <w:r w:rsidR="001E19CE" w:rsidRPr="00665DAC">
        <w:rPr>
          <w:rFonts w:ascii="Garamond" w:hAnsi="Garamond"/>
          <w:sz w:val="24"/>
          <w:szCs w:val="24"/>
        </w:rPr>
        <w:t xml:space="preserve">      </w:t>
      </w:r>
      <w:r w:rsidRPr="00665DAC">
        <w:rPr>
          <w:rFonts w:ascii="Garamond" w:hAnsi="Garamond"/>
          <w:b/>
          <w:bCs/>
          <w:sz w:val="24"/>
          <w:szCs w:val="24"/>
        </w:rPr>
        <w:t>Email</w:t>
      </w:r>
      <w:r w:rsidRPr="00665DAC">
        <w:rPr>
          <w:rFonts w:ascii="Garamond" w:hAnsi="Garamond"/>
          <w:sz w:val="24"/>
          <w:szCs w:val="24"/>
        </w:rPr>
        <w:t xml:space="preserve">: </w:t>
      </w:r>
      <w:hyperlink r:id="rId8" w:history="1">
        <w:r w:rsidR="007406EC" w:rsidRPr="00665DAC">
          <w:rPr>
            <w:rStyle w:val="Hyperlink"/>
            <w:rFonts w:ascii="Garamond" w:hAnsi="Garamond" w:cs="Times New Roman"/>
            <w:sz w:val="24"/>
            <w:szCs w:val="24"/>
          </w:rPr>
          <w:t>aobst@uw.edu</w:t>
        </w:r>
      </w:hyperlink>
      <w:r w:rsidR="00AE0540" w:rsidRPr="00665DAC">
        <w:rPr>
          <w:rStyle w:val="Hyperlink0"/>
          <w:rFonts w:ascii="Garamond" w:eastAsia="Arial Unicode MS" w:hAnsi="Garamond"/>
          <w:sz w:val="24"/>
          <w:szCs w:val="24"/>
        </w:rPr>
        <w:t xml:space="preserve"> </w:t>
      </w:r>
    </w:p>
    <w:p w14:paraId="31779B77" w14:textId="68FFDFD0" w:rsidR="00797414" w:rsidRDefault="00B27A33">
      <w:pPr>
        <w:pStyle w:val="Body"/>
        <w:rPr>
          <w:rFonts w:ascii="Garamond" w:hAnsi="Garamond"/>
          <w:sz w:val="24"/>
          <w:szCs w:val="24"/>
        </w:rPr>
      </w:pPr>
      <w:r w:rsidRPr="00665DAC">
        <w:rPr>
          <w:rFonts w:ascii="Garamond" w:hAnsi="Garamond"/>
          <w:b/>
          <w:bCs/>
          <w:sz w:val="24"/>
          <w:szCs w:val="24"/>
        </w:rPr>
        <w:t>Office Hours</w:t>
      </w:r>
      <w:r w:rsidRPr="00665DAC">
        <w:rPr>
          <w:rFonts w:ascii="Garamond" w:hAnsi="Garamond"/>
          <w:sz w:val="24"/>
          <w:szCs w:val="24"/>
        </w:rPr>
        <w:t xml:space="preserve">: </w:t>
      </w:r>
      <w:r w:rsidR="003663AF">
        <w:rPr>
          <w:rFonts w:ascii="Garamond" w:hAnsi="Garamond"/>
          <w:sz w:val="24"/>
          <w:szCs w:val="24"/>
        </w:rPr>
        <w:t>Tuesday and Thursday</w:t>
      </w:r>
      <w:r w:rsidRPr="00665DAC">
        <w:rPr>
          <w:rFonts w:ascii="Garamond" w:hAnsi="Garamond"/>
          <w:sz w:val="24"/>
          <w:szCs w:val="24"/>
        </w:rPr>
        <w:t xml:space="preserve"> from</w:t>
      </w:r>
      <w:r w:rsidR="00AE0540" w:rsidRPr="00665DAC">
        <w:rPr>
          <w:rFonts w:ascii="Garamond" w:hAnsi="Garamond"/>
          <w:sz w:val="24"/>
          <w:szCs w:val="24"/>
        </w:rPr>
        <w:t xml:space="preserve"> 1</w:t>
      </w:r>
      <w:r w:rsidR="001D1A1E">
        <w:rPr>
          <w:rFonts w:ascii="Garamond" w:hAnsi="Garamond"/>
          <w:sz w:val="24"/>
          <w:szCs w:val="24"/>
        </w:rPr>
        <w:t>2</w:t>
      </w:r>
      <w:r w:rsidR="00AE0540" w:rsidRPr="00665DAC">
        <w:rPr>
          <w:rFonts w:ascii="Garamond" w:hAnsi="Garamond"/>
          <w:sz w:val="24"/>
          <w:szCs w:val="24"/>
        </w:rPr>
        <w:t xml:space="preserve">:00 – </w:t>
      </w:r>
      <w:r w:rsidR="001D1A1E">
        <w:rPr>
          <w:rFonts w:ascii="Garamond" w:hAnsi="Garamond"/>
          <w:sz w:val="24"/>
          <w:szCs w:val="24"/>
        </w:rPr>
        <w:t>1</w:t>
      </w:r>
      <w:r w:rsidR="00AE0540" w:rsidRPr="00665DAC">
        <w:rPr>
          <w:rFonts w:ascii="Garamond" w:hAnsi="Garamond"/>
          <w:sz w:val="24"/>
          <w:szCs w:val="24"/>
        </w:rPr>
        <w:t>:00</w:t>
      </w:r>
      <w:r w:rsidR="00381D61">
        <w:rPr>
          <w:rFonts w:ascii="Garamond" w:hAnsi="Garamond"/>
          <w:sz w:val="24"/>
          <w:szCs w:val="24"/>
        </w:rPr>
        <w:t xml:space="preserve"> PT</w:t>
      </w:r>
      <w:r w:rsidR="007406EC" w:rsidRPr="00665DAC">
        <w:rPr>
          <w:rFonts w:ascii="Garamond" w:hAnsi="Garamond"/>
          <w:sz w:val="24"/>
          <w:szCs w:val="24"/>
        </w:rPr>
        <w:t xml:space="preserve">, </w:t>
      </w:r>
      <w:r w:rsidR="001D1A1E">
        <w:rPr>
          <w:rFonts w:ascii="Garamond" w:hAnsi="Garamond"/>
          <w:sz w:val="24"/>
          <w:szCs w:val="24"/>
        </w:rPr>
        <w:t>or</w:t>
      </w:r>
      <w:r w:rsidR="007406EC" w:rsidRPr="00665DAC">
        <w:rPr>
          <w:rFonts w:ascii="Garamond" w:hAnsi="Garamond"/>
          <w:sz w:val="24"/>
          <w:szCs w:val="24"/>
        </w:rPr>
        <w:t xml:space="preserve"> by appointment. </w:t>
      </w:r>
    </w:p>
    <w:p w14:paraId="47490218" w14:textId="3B5EB293" w:rsidR="001F0466" w:rsidRDefault="00A86364">
      <w:pPr>
        <w:pStyle w:val="Body"/>
        <w:rPr>
          <w:rFonts w:ascii="Garamond" w:hAnsi="Garamond"/>
          <w:b/>
          <w:bCs/>
          <w:sz w:val="24"/>
          <w:szCs w:val="24"/>
        </w:rPr>
      </w:pPr>
      <w:r>
        <w:rPr>
          <w:rFonts w:ascii="Garamond" w:hAnsi="Garamond"/>
          <w:b/>
          <w:bCs/>
          <w:sz w:val="24"/>
          <w:szCs w:val="24"/>
        </w:rPr>
        <w:t xml:space="preserve">Zoom </w:t>
      </w:r>
      <w:r w:rsidR="00B715D5" w:rsidRPr="00797414">
        <w:rPr>
          <w:rFonts w:ascii="Garamond" w:hAnsi="Garamond"/>
          <w:b/>
          <w:bCs/>
          <w:sz w:val="24"/>
          <w:szCs w:val="24"/>
        </w:rPr>
        <w:t>Meeting ID</w:t>
      </w:r>
      <w:r w:rsidR="00797414">
        <w:rPr>
          <w:rFonts w:ascii="Garamond" w:hAnsi="Garamond"/>
          <w:b/>
          <w:bCs/>
          <w:sz w:val="24"/>
          <w:szCs w:val="24"/>
        </w:rPr>
        <w:t>s</w:t>
      </w:r>
      <w:r w:rsidR="00B715D5" w:rsidRPr="00797414">
        <w:rPr>
          <w:rFonts w:ascii="Garamond" w:hAnsi="Garamond"/>
          <w:b/>
          <w:bCs/>
          <w:sz w:val="24"/>
          <w:szCs w:val="24"/>
        </w:rPr>
        <w:t xml:space="preserve">: </w:t>
      </w:r>
    </w:p>
    <w:p w14:paraId="155CC64D" w14:textId="47B5896F" w:rsidR="002D016B" w:rsidRDefault="002D016B" w:rsidP="00797414">
      <w:pPr>
        <w:pStyle w:val="Body"/>
        <w:ind w:left="720"/>
        <w:rPr>
          <w:rFonts w:ascii="Garamond" w:hAnsi="Garamond"/>
          <w:i/>
          <w:iCs/>
          <w:sz w:val="24"/>
          <w:szCs w:val="24"/>
        </w:rPr>
      </w:pPr>
      <w:r>
        <w:rPr>
          <w:rFonts w:ascii="Garamond" w:hAnsi="Garamond"/>
          <w:i/>
          <w:iCs/>
          <w:sz w:val="24"/>
          <w:szCs w:val="24"/>
        </w:rPr>
        <w:t xml:space="preserve">We will </w:t>
      </w:r>
      <w:r w:rsidR="006A34A1">
        <w:rPr>
          <w:rFonts w:ascii="Garamond" w:hAnsi="Garamond"/>
          <w:i/>
          <w:iCs/>
          <w:sz w:val="24"/>
          <w:szCs w:val="24"/>
        </w:rPr>
        <w:t>the following link for</w:t>
      </w:r>
      <w:r>
        <w:rPr>
          <w:rFonts w:ascii="Garamond" w:hAnsi="Garamond"/>
          <w:i/>
          <w:iCs/>
          <w:sz w:val="24"/>
          <w:szCs w:val="24"/>
        </w:rPr>
        <w:t xml:space="preserve"> Lecture, Discussion, and Office Hours: </w:t>
      </w:r>
    </w:p>
    <w:p w14:paraId="09EBF151" w14:textId="14C6818F" w:rsidR="00797414" w:rsidRPr="001A35EE" w:rsidRDefault="006025AC" w:rsidP="002D016B">
      <w:pPr>
        <w:pStyle w:val="Body"/>
        <w:ind w:left="1440"/>
        <w:rPr>
          <w:rFonts w:ascii="Garamond" w:hAnsi="Garamond"/>
          <w:sz w:val="24"/>
          <w:szCs w:val="24"/>
        </w:rPr>
      </w:pPr>
      <w:r>
        <w:rPr>
          <w:rFonts w:ascii="Garamond" w:hAnsi="Garamond"/>
          <w:i/>
          <w:iCs/>
          <w:sz w:val="24"/>
          <w:szCs w:val="24"/>
        </w:rPr>
        <w:t xml:space="preserve"> </w:t>
      </w:r>
      <w:r w:rsidR="005E1FD4" w:rsidRPr="005E1FD4">
        <w:rPr>
          <w:rFonts w:ascii="Garamond" w:hAnsi="Garamond" w:cs="Helvetica"/>
          <w:color w:val="2D3B45"/>
          <w:shd w:val="clear" w:color="auto" w:fill="FFFFFF"/>
        </w:rPr>
        <w:t>990 8369 6207</w:t>
      </w:r>
      <w:r w:rsidRPr="001A35EE">
        <w:rPr>
          <w:rFonts w:ascii="Garamond" w:hAnsi="Garamond"/>
          <w:sz w:val="24"/>
          <w:szCs w:val="24"/>
        </w:rPr>
        <w:t xml:space="preserve"> </w:t>
      </w:r>
      <w:r w:rsidR="002D016B" w:rsidRPr="001A35EE">
        <w:rPr>
          <w:rFonts w:ascii="Garamond" w:hAnsi="Garamond"/>
          <w:sz w:val="24"/>
          <w:szCs w:val="24"/>
        </w:rPr>
        <w:t xml:space="preserve">(link: </w:t>
      </w:r>
      <w:hyperlink r:id="rId9" w:tgtFrame="_blank" w:history="1">
        <w:r w:rsidR="006A34A1" w:rsidRPr="006A34A1">
          <w:rPr>
            <w:rStyle w:val="Hyperlink"/>
            <w:rFonts w:ascii="Garamond" w:hAnsi="Garamond" w:cs="Open Sans"/>
            <w:color w:val="0E71EB"/>
            <w:sz w:val="21"/>
            <w:szCs w:val="21"/>
            <w:shd w:val="clear" w:color="auto" w:fill="FFFFFF"/>
          </w:rPr>
          <w:t>https://washington.zoom.us/j/99083696207</w:t>
        </w:r>
      </w:hyperlink>
      <w:r w:rsidR="001A35EE">
        <w:rPr>
          <w:rFonts w:ascii="Garamond" w:hAnsi="Garamond"/>
          <w:sz w:val="24"/>
          <w:szCs w:val="24"/>
        </w:rPr>
        <w:t>)</w:t>
      </w:r>
    </w:p>
    <w:p w14:paraId="56E21D92" w14:textId="77777777" w:rsidR="001F0466" w:rsidRPr="00665DAC" w:rsidRDefault="001F0466">
      <w:pPr>
        <w:pStyle w:val="Body"/>
        <w:rPr>
          <w:rFonts w:ascii="Garamond" w:eastAsia="Times New Roman" w:hAnsi="Garamond" w:cs="Times New Roman"/>
          <w:sz w:val="24"/>
          <w:szCs w:val="24"/>
        </w:rPr>
      </w:pPr>
    </w:p>
    <w:p w14:paraId="3B95557D" w14:textId="77777777" w:rsidR="001F0466" w:rsidRPr="009B150E" w:rsidRDefault="00B27A33">
      <w:pPr>
        <w:pStyle w:val="Body"/>
        <w:rPr>
          <w:rFonts w:ascii="Garamond" w:eastAsia="Times New Roman" w:hAnsi="Garamond" w:cs="Times New Roman"/>
          <w:b/>
          <w:bCs/>
          <w:sz w:val="28"/>
          <w:szCs w:val="28"/>
        </w:rPr>
      </w:pPr>
      <w:r w:rsidRPr="009B150E">
        <w:rPr>
          <w:rFonts w:ascii="Garamond" w:hAnsi="Garamond"/>
          <w:b/>
          <w:bCs/>
          <w:sz w:val="28"/>
          <w:szCs w:val="28"/>
        </w:rPr>
        <w:t>Course Description:</w:t>
      </w:r>
    </w:p>
    <w:p w14:paraId="73E0BBFF" w14:textId="0F99125C" w:rsidR="007D556B" w:rsidRDefault="00FD016C" w:rsidP="00F11C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cs="Arial"/>
          <w:bdr w:val="none" w:sz="0" w:space="0" w:color="auto"/>
        </w:rPr>
      </w:pPr>
      <w:r>
        <w:rPr>
          <w:rFonts w:ascii="Garamond" w:eastAsia="Times New Roman" w:hAnsi="Garamond" w:cs="Arial"/>
          <w:bdr w:val="none" w:sz="0" w:space="0" w:color="auto"/>
        </w:rPr>
        <w:t xml:space="preserve">Note: </w:t>
      </w:r>
      <w:r w:rsidR="001A35EE">
        <w:rPr>
          <w:rFonts w:ascii="Garamond" w:eastAsia="Times New Roman" w:hAnsi="Garamond" w:cs="Arial"/>
          <w:bdr w:val="none" w:sz="0" w:space="0" w:color="auto"/>
        </w:rPr>
        <w:t>I reserve the right to change the syllabus, if needed.</w:t>
      </w:r>
    </w:p>
    <w:p w14:paraId="7E621C79" w14:textId="77777777" w:rsidR="007D556B" w:rsidRDefault="007D556B" w:rsidP="00F11C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cs="Arial"/>
          <w:bdr w:val="none" w:sz="0" w:space="0" w:color="auto"/>
        </w:rPr>
      </w:pPr>
    </w:p>
    <w:p w14:paraId="5EA365BE" w14:textId="79FCD768" w:rsidR="00F11C38" w:rsidRPr="00760527" w:rsidRDefault="001E19CE" w:rsidP="00F11C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cs="Arial"/>
          <w:bdr w:val="none" w:sz="0" w:space="0" w:color="auto"/>
        </w:rPr>
      </w:pPr>
      <w:r w:rsidRPr="00760527">
        <w:rPr>
          <w:rFonts w:ascii="Garamond" w:eastAsia="Times New Roman" w:hAnsi="Garamond" w:cs="Arial"/>
          <w:bdr w:val="none" w:sz="0" w:space="0" w:color="auto"/>
        </w:rPr>
        <w:t>Moral problems are ubiquitous in our lives. Some of these problems are obvious, and we can immediately see them as moral problems. We know, for example, that murder and the torture of innocent</w:t>
      </w:r>
      <w:r w:rsidR="007406EC" w:rsidRPr="00760527">
        <w:rPr>
          <w:rFonts w:ascii="Garamond" w:eastAsia="Times New Roman" w:hAnsi="Garamond" w:cs="Arial"/>
          <w:bdr w:val="none" w:sz="0" w:space="0" w:color="auto"/>
        </w:rPr>
        <w:t xml:space="preserve"> people</w:t>
      </w:r>
      <w:r w:rsidRPr="00760527">
        <w:rPr>
          <w:rFonts w:ascii="Garamond" w:eastAsia="Times New Roman" w:hAnsi="Garamond" w:cs="Arial"/>
          <w:bdr w:val="none" w:sz="0" w:space="0" w:color="auto"/>
        </w:rPr>
        <w:t xml:space="preserve"> are morally </w:t>
      </w:r>
      <w:r w:rsidR="000E6B32" w:rsidRPr="00760527">
        <w:rPr>
          <w:rFonts w:ascii="Garamond" w:eastAsia="Times New Roman" w:hAnsi="Garamond" w:cs="Arial"/>
          <w:bdr w:val="none" w:sz="0" w:space="0" w:color="auto"/>
        </w:rPr>
        <w:t>wrong</w:t>
      </w:r>
      <w:r w:rsidRPr="00760527">
        <w:rPr>
          <w:rFonts w:ascii="Garamond" w:eastAsia="Times New Roman" w:hAnsi="Garamond" w:cs="Arial"/>
          <w:bdr w:val="none" w:sz="0" w:space="0" w:color="auto"/>
        </w:rPr>
        <w:t xml:space="preserve">. However, these are neither the interesting cases in morality nor are they the most common. For </w:t>
      </w:r>
      <w:r w:rsidR="000E6B32" w:rsidRPr="00760527">
        <w:rPr>
          <w:rFonts w:ascii="Garamond" w:eastAsia="Times New Roman" w:hAnsi="Garamond" w:cs="Arial"/>
          <w:bdr w:val="none" w:sz="0" w:space="0" w:color="auto"/>
        </w:rPr>
        <w:t>most cases</w:t>
      </w:r>
      <w:r w:rsidRPr="00760527">
        <w:rPr>
          <w:rFonts w:ascii="Garamond" w:eastAsia="Times New Roman" w:hAnsi="Garamond" w:cs="Arial"/>
          <w:bdr w:val="none" w:sz="0" w:space="0" w:color="auto"/>
        </w:rPr>
        <w:t xml:space="preserve"> answers are less forthcoming. Sometimes this is because the problem is itself too complicated, and our tools too blunt. In other cases</w:t>
      </w:r>
      <w:r w:rsidR="000E6B32" w:rsidRPr="00760527">
        <w:rPr>
          <w:rFonts w:ascii="Garamond" w:eastAsia="Times New Roman" w:hAnsi="Garamond" w:cs="Arial"/>
          <w:bdr w:val="none" w:sz="0" w:space="0" w:color="auto"/>
        </w:rPr>
        <w:t>,</w:t>
      </w:r>
      <w:r w:rsidRPr="00760527">
        <w:rPr>
          <w:rFonts w:ascii="Garamond" w:eastAsia="Times New Roman" w:hAnsi="Garamond" w:cs="Arial"/>
          <w:bdr w:val="none" w:sz="0" w:space="0" w:color="auto"/>
        </w:rPr>
        <w:t xml:space="preserve"> our failure is a product of not being able (or willing) to see something as a moral problem. We have blind-spots, socially or individually, that cause moral problems to go unnoticed. This class provide</w:t>
      </w:r>
      <w:r w:rsidR="000E6B32" w:rsidRPr="00760527">
        <w:rPr>
          <w:rFonts w:ascii="Garamond" w:eastAsia="Times New Roman" w:hAnsi="Garamond" w:cs="Arial"/>
          <w:bdr w:val="none" w:sz="0" w:space="0" w:color="auto"/>
        </w:rPr>
        <w:t>s</w:t>
      </w:r>
      <w:r w:rsidRPr="00760527">
        <w:rPr>
          <w:rFonts w:ascii="Garamond" w:eastAsia="Times New Roman" w:hAnsi="Garamond" w:cs="Arial"/>
          <w:bdr w:val="none" w:sz="0" w:space="0" w:color="auto"/>
        </w:rPr>
        <w:t xml:space="preserve"> some of the tools for addressing these problems. </w:t>
      </w:r>
      <w:r w:rsidR="008C6798" w:rsidRPr="00760527">
        <w:rPr>
          <w:rFonts w:ascii="Garamond" w:eastAsia="Times New Roman" w:hAnsi="Garamond" w:cs="Arial"/>
          <w:bdr w:val="none" w:sz="0" w:space="0" w:color="auto"/>
        </w:rPr>
        <w:t>We begin by</w:t>
      </w:r>
      <w:r w:rsidRPr="00760527">
        <w:rPr>
          <w:rFonts w:ascii="Garamond" w:eastAsia="Times New Roman" w:hAnsi="Garamond" w:cs="Arial"/>
          <w:bdr w:val="none" w:sz="0" w:space="0" w:color="auto"/>
        </w:rPr>
        <w:t xml:space="preserve"> </w:t>
      </w:r>
      <w:r w:rsidR="008C6798" w:rsidRPr="00760527">
        <w:rPr>
          <w:rFonts w:ascii="Garamond" w:eastAsia="Times New Roman" w:hAnsi="Garamond" w:cs="Arial"/>
          <w:bdr w:val="none" w:sz="0" w:space="0" w:color="auto"/>
        </w:rPr>
        <w:t>learning some best practices when</w:t>
      </w:r>
      <w:r w:rsidRPr="00760527">
        <w:rPr>
          <w:rFonts w:ascii="Garamond" w:eastAsia="Times New Roman" w:hAnsi="Garamond" w:cs="Arial"/>
          <w:bdr w:val="none" w:sz="0" w:space="0" w:color="auto"/>
        </w:rPr>
        <w:t xml:space="preserve"> reasoning about morality</w:t>
      </w:r>
      <w:r w:rsidR="00641E8F" w:rsidRPr="00760527">
        <w:rPr>
          <w:rFonts w:ascii="Garamond" w:eastAsia="Times New Roman" w:hAnsi="Garamond" w:cs="Arial"/>
          <w:bdr w:val="none" w:sz="0" w:space="0" w:color="auto"/>
        </w:rPr>
        <w:t xml:space="preserve">, </w:t>
      </w:r>
      <w:r w:rsidR="008C6798" w:rsidRPr="00760527">
        <w:rPr>
          <w:rFonts w:ascii="Garamond" w:eastAsia="Times New Roman" w:hAnsi="Garamond" w:cs="Arial"/>
          <w:bdr w:val="none" w:sz="0" w:space="0" w:color="auto"/>
        </w:rPr>
        <w:t>as</w:t>
      </w:r>
      <w:r w:rsidR="00641E8F" w:rsidRPr="00760527">
        <w:rPr>
          <w:rFonts w:ascii="Garamond" w:eastAsia="Times New Roman" w:hAnsi="Garamond" w:cs="Arial"/>
          <w:bdr w:val="none" w:sz="0" w:space="0" w:color="auto"/>
        </w:rPr>
        <w:t xml:space="preserve"> well as two of the most</w:t>
      </w:r>
      <w:r w:rsidR="008C6798" w:rsidRPr="00760527">
        <w:rPr>
          <w:rFonts w:ascii="Garamond" w:eastAsia="Times New Roman" w:hAnsi="Garamond" w:cs="Arial"/>
          <w:bdr w:val="none" w:sz="0" w:space="0" w:color="auto"/>
        </w:rPr>
        <w:t xml:space="preserve"> common theoretical frameworks ethicists use to analyze moral problems.</w:t>
      </w:r>
      <w:r w:rsidR="00641E8F" w:rsidRPr="00760527">
        <w:rPr>
          <w:rFonts w:ascii="Garamond" w:eastAsia="Times New Roman" w:hAnsi="Garamond" w:cs="Arial"/>
          <w:bdr w:val="none" w:sz="0" w:space="0" w:color="auto"/>
        </w:rPr>
        <w:t xml:space="preserve"> </w:t>
      </w:r>
      <w:r w:rsidR="008C6798" w:rsidRPr="00760527">
        <w:rPr>
          <w:rFonts w:ascii="Garamond" w:eastAsia="Times New Roman" w:hAnsi="Garamond" w:cs="Arial"/>
          <w:bdr w:val="none" w:sz="0" w:space="0" w:color="auto"/>
        </w:rPr>
        <w:t xml:space="preserve">Then, we proceed to apply these tools to pressing contemporary moral problems. </w:t>
      </w:r>
    </w:p>
    <w:p w14:paraId="6A88D5D3" w14:textId="3E1149E3" w:rsidR="000E6B32" w:rsidRPr="00760527" w:rsidRDefault="008C6798" w:rsidP="00475AC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Garamond" w:eastAsia="Times New Roman" w:hAnsi="Garamond" w:cs="Arial"/>
          <w:bdr w:val="none" w:sz="0" w:space="0" w:color="auto"/>
        </w:rPr>
      </w:pPr>
      <w:r w:rsidRPr="00760527">
        <w:rPr>
          <w:rFonts w:ascii="Garamond" w:eastAsia="Times New Roman" w:hAnsi="Garamond" w:cs="Arial"/>
          <w:bdr w:val="none" w:sz="0" w:space="0" w:color="auto"/>
        </w:rPr>
        <w:t xml:space="preserve">First, we </w:t>
      </w:r>
      <w:r w:rsidR="00DE4663">
        <w:rPr>
          <w:rFonts w:ascii="Garamond" w:eastAsia="Times New Roman" w:hAnsi="Garamond" w:cs="Arial"/>
          <w:bdr w:val="none" w:sz="0" w:space="0" w:color="auto"/>
        </w:rPr>
        <w:t xml:space="preserve">survey a range of pressing contemporary issues. </w:t>
      </w:r>
      <w:r w:rsidR="00960667" w:rsidRPr="00760527">
        <w:rPr>
          <w:rFonts w:ascii="Garamond" w:eastAsia="Times New Roman" w:hAnsi="Garamond" w:cs="Arial"/>
          <w:bdr w:val="none" w:sz="0" w:space="0" w:color="auto"/>
        </w:rPr>
        <w:t>In a world where charitable contribut</w:t>
      </w:r>
      <w:r w:rsidR="00602651" w:rsidRPr="00760527">
        <w:rPr>
          <w:rFonts w:ascii="Garamond" w:eastAsia="Times New Roman" w:hAnsi="Garamond" w:cs="Arial"/>
          <w:bdr w:val="none" w:sz="0" w:space="0" w:color="auto"/>
        </w:rPr>
        <w:t>ions</w:t>
      </w:r>
      <w:r w:rsidR="00960667" w:rsidRPr="00760527">
        <w:rPr>
          <w:rFonts w:ascii="Garamond" w:eastAsia="Times New Roman" w:hAnsi="Garamond" w:cs="Arial"/>
          <w:bdr w:val="none" w:sz="0" w:space="0" w:color="auto"/>
        </w:rPr>
        <w:t xml:space="preserve"> can go a long way, how much does morality demand individuals contribute to altruistic causes? </w:t>
      </w:r>
      <w:r w:rsidR="004F14D7">
        <w:rPr>
          <w:rFonts w:ascii="Garamond" w:eastAsia="Times New Roman" w:hAnsi="Garamond" w:cs="Arial"/>
          <w:bdr w:val="none" w:sz="0" w:space="0" w:color="auto"/>
        </w:rPr>
        <w:t xml:space="preserve">Should access to abortion be constrained? </w:t>
      </w:r>
      <w:r w:rsidR="00960667" w:rsidRPr="00760527">
        <w:rPr>
          <w:rFonts w:ascii="Garamond" w:eastAsia="Times New Roman" w:hAnsi="Garamond" w:cs="Arial"/>
          <w:bdr w:val="none" w:sz="0" w:space="0" w:color="auto"/>
        </w:rPr>
        <w:t xml:space="preserve">Can there be racism and sexism without sexists and racists; and, if so, what </w:t>
      </w:r>
      <w:r w:rsidR="00F11C38" w:rsidRPr="00760527">
        <w:rPr>
          <w:rFonts w:ascii="Garamond" w:eastAsia="Times New Roman" w:hAnsi="Garamond" w:cs="Arial"/>
          <w:bdr w:val="none" w:sz="0" w:space="0" w:color="auto"/>
        </w:rPr>
        <w:t xml:space="preserve">ought to be done to solve this more insidious form of </w:t>
      </w:r>
      <w:r w:rsidR="004401FB" w:rsidRPr="00760527">
        <w:rPr>
          <w:rFonts w:ascii="Garamond" w:eastAsia="Times New Roman" w:hAnsi="Garamond" w:cs="Arial"/>
          <w:bdr w:val="none" w:sz="0" w:space="0" w:color="auto"/>
        </w:rPr>
        <w:t>oppression</w:t>
      </w:r>
      <w:r w:rsidR="00F11C38" w:rsidRPr="00760527">
        <w:rPr>
          <w:rFonts w:ascii="Garamond" w:eastAsia="Times New Roman" w:hAnsi="Garamond" w:cs="Arial"/>
          <w:bdr w:val="none" w:sz="0" w:space="0" w:color="auto"/>
        </w:rPr>
        <w:t xml:space="preserve">? </w:t>
      </w:r>
      <w:r w:rsidR="007D11D5">
        <w:rPr>
          <w:rFonts w:ascii="Garamond" w:eastAsia="Times New Roman" w:hAnsi="Garamond" w:cs="Arial"/>
          <w:bdr w:val="none" w:sz="0" w:space="0" w:color="auto"/>
        </w:rPr>
        <w:t xml:space="preserve">What forms of protest are permissible to exercise as a means of fighting oppression? </w:t>
      </w:r>
      <w:r w:rsidR="000C4F24">
        <w:rPr>
          <w:rFonts w:ascii="Garamond" w:eastAsia="Times New Roman" w:hAnsi="Garamond" w:cs="Arial"/>
          <w:bdr w:val="none" w:sz="0" w:space="0" w:color="auto"/>
        </w:rPr>
        <w:t xml:space="preserve">How ought vaccines for Covid-19 be distributed? </w:t>
      </w:r>
    </w:p>
    <w:p w14:paraId="2EE92D58" w14:textId="6922C7E7" w:rsidR="000E6B32" w:rsidRPr="00760527" w:rsidRDefault="00F11C38" w:rsidP="000E6B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Garamond" w:eastAsia="Times New Roman" w:hAnsi="Garamond" w:cs="Arial"/>
          <w:bdr w:val="none" w:sz="0" w:space="0" w:color="auto"/>
        </w:rPr>
      </w:pPr>
      <w:r w:rsidRPr="00760527">
        <w:rPr>
          <w:rFonts w:ascii="Garamond" w:eastAsia="Times New Roman" w:hAnsi="Garamond" w:cs="Arial"/>
          <w:bdr w:val="none" w:sz="0" w:space="0" w:color="auto"/>
        </w:rPr>
        <w:t>In the second part of the course, we</w:t>
      </w:r>
      <w:r w:rsidR="004F14D7">
        <w:rPr>
          <w:rFonts w:ascii="Garamond" w:eastAsia="Times New Roman" w:hAnsi="Garamond" w:cs="Arial"/>
          <w:bdr w:val="none" w:sz="0" w:space="0" w:color="auto"/>
        </w:rPr>
        <w:t xml:space="preserve"> </w:t>
      </w:r>
      <w:r w:rsidR="00B93A3D">
        <w:rPr>
          <w:rFonts w:ascii="Garamond" w:eastAsia="Times New Roman" w:hAnsi="Garamond" w:cs="Arial"/>
          <w:bdr w:val="none" w:sz="0" w:space="0" w:color="auto"/>
        </w:rPr>
        <w:t>take a deep dive into the moral problem of climate change, analyzing the developing cr</w:t>
      </w:r>
      <w:r w:rsidR="008414D1">
        <w:rPr>
          <w:rFonts w:ascii="Garamond" w:eastAsia="Times New Roman" w:hAnsi="Garamond" w:cs="Arial"/>
          <w:bdr w:val="none" w:sz="0" w:space="0" w:color="auto"/>
        </w:rPr>
        <w:t xml:space="preserve">isis </w:t>
      </w:r>
      <w:r w:rsidR="008C5FAB">
        <w:rPr>
          <w:rFonts w:ascii="Garamond" w:eastAsia="Times New Roman" w:hAnsi="Garamond" w:cs="Arial"/>
          <w:bdr w:val="none" w:sz="0" w:space="0" w:color="auto"/>
        </w:rPr>
        <w:t>as a matter of global</w:t>
      </w:r>
      <w:r w:rsidR="00FB0713">
        <w:rPr>
          <w:rFonts w:ascii="Garamond" w:eastAsia="Times New Roman" w:hAnsi="Garamond" w:cs="Arial"/>
          <w:bdr w:val="none" w:sz="0" w:space="0" w:color="auto"/>
        </w:rPr>
        <w:t xml:space="preserve"> justice. What </w:t>
      </w:r>
      <w:r w:rsidR="00A97C4E">
        <w:rPr>
          <w:rFonts w:ascii="Garamond" w:eastAsia="Times New Roman" w:hAnsi="Garamond" w:cs="Arial"/>
          <w:bdr w:val="none" w:sz="0" w:space="0" w:color="auto"/>
        </w:rPr>
        <w:t>are</w:t>
      </w:r>
      <w:r w:rsidR="00FB0713">
        <w:rPr>
          <w:rFonts w:ascii="Garamond" w:eastAsia="Times New Roman" w:hAnsi="Garamond" w:cs="Arial"/>
          <w:bdr w:val="none" w:sz="0" w:space="0" w:color="auto"/>
        </w:rPr>
        <w:t xml:space="preserve"> the root</w:t>
      </w:r>
      <w:r w:rsidR="00A97C4E">
        <w:rPr>
          <w:rFonts w:ascii="Garamond" w:eastAsia="Times New Roman" w:hAnsi="Garamond" w:cs="Arial"/>
          <w:bdr w:val="none" w:sz="0" w:space="0" w:color="auto"/>
        </w:rPr>
        <w:t>s</w:t>
      </w:r>
      <w:r w:rsidR="00FB0713">
        <w:rPr>
          <w:rFonts w:ascii="Garamond" w:eastAsia="Times New Roman" w:hAnsi="Garamond" w:cs="Arial"/>
          <w:bdr w:val="none" w:sz="0" w:space="0" w:color="auto"/>
        </w:rPr>
        <w:t xml:space="preserve"> of the climate crisis?</w:t>
      </w:r>
      <w:r w:rsidRPr="00760527">
        <w:rPr>
          <w:rFonts w:ascii="Garamond" w:eastAsia="Times New Roman" w:hAnsi="Garamond" w:cs="Arial"/>
          <w:bdr w:val="none" w:sz="0" w:space="0" w:color="auto"/>
        </w:rPr>
        <w:t xml:space="preserve"> </w:t>
      </w:r>
      <w:r w:rsidR="008F36AB">
        <w:rPr>
          <w:rFonts w:ascii="Garamond" w:eastAsia="Times New Roman" w:hAnsi="Garamond" w:cs="Arial"/>
          <w:bdr w:val="none" w:sz="0" w:space="0" w:color="auto"/>
        </w:rPr>
        <w:t>What are the ethical dimensions of climate denial</w:t>
      </w:r>
      <w:r w:rsidR="00A97C4E">
        <w:rPr>
          <w:rFonts w:ascii="Garamond" w:eastAsia="Times New Roman" w:hAnsi="Garamond" w:cs="Arial"/>
          <w:bdr w:val="none" w:sz="0" w:space="0" w:color="auto"/>
        </w:rPr>
        <w:t xml:space="preserve">? What </w:t>
      </w:r>
      <w:r w:rsidR="00EF0E8F">
        <w:rPr>
          <w:rFonts w:ascii="Garamond" w:eastAsia="Times New Roman" w:hAnsi="Garamond" w:cs="Arial"/>
          <w:bdr w:val="none" w:sz="0" w:space="0" w:color="auto"/>
        </w:rPr>
        <w:t xml:space="preserve">moral obligations do </w:t>
      </w:r>
      <w:r w:rsidR="00EF0E8F">
        <w:rPr>
          <w:rFonts w:ascii="Garamond" w:eastAsia="Times New Roman" w:hAnsi="Garamond" w:cs="Arial"/>
          <w:i/>
          <w:iCs/>
          <w:bdr w:val="none" w:sz="0" w:space="0" w:color="auto"/>
        </w:rPr>
        <w:t xml:space="preserve">individuals </w:t>
      </w:r>
      <w:r w:rsidR="00EF0E8F">
        <w:rPr>
          <w:rFonts w:ascii="Garamond" w:eastAsia="Times New Roman" w:hAnsi="Garamond" w:cs="Arial"/>
          <w:bdr w:val="none" w:sz="0" w:space="0" w:color="auto"/>
        </w:rPr>
        <w:t xml:space="preserve">have </w:t>
      </w:r>
      <w:r w:rsidR="00F5265D">
        <w:rPr>
          <w:rFonts w:ascii="Garamond" w:eastAsia="Times New Roman" w:hAnsi="Garamond" w:cs="Arial"/>
          <w:bdr w:val="none" w:sz="0" w:space="0" w:color="auto"/>
        </w:rPr>
        <w:t xml:space="preserve">to address climate change? </w:t>
      </w:r>
      <w:r w:rsidR="007D1157">
        <w:rPr>
          <w:rFonts w:ascii="Garamond" w:eastAsia="Times New Roman" w:hAnsi="Garamond" w:cs="Arial"/>
          <w:bdr w:val="none" w:sz="0" w:space="0" w:color="auto"/>
        </w:rPr>
        <w:t xml:space="preserve">What does a just </w:t>
      </w:r>
      <w:r w:rsidR="00C8060A">
        <w:rPr>
          <w:rFonts w:ascii="Garamond" w:eastAsia="Times New Roman" w:hAnsi="Garamond" w:cs="Arial"/>
          <w:bdr w:val="none" w:sz="0" w:space="0" w:color="auto"/>
        </w:rPr>
        <w:t>international order look like in a warming world</w:t>
      </w:r>
      <w:r w:rsidR="00CB6C5D">
        <w:rPr>
          <w:rFonts w:ascii="Garamond" w:eastAsia="Times New Roman" w:hAnsi="Garamond" w:cs="Arial"/>
          <w:bdr w:val="none" w:sz="0" w:space="0" w:color="auto"/>
        </w:rPr>
        <w:t>, and how should the burdens for achieving this world be distributed across nations</w:t>
      </w:r>
      <w:r w:rsidR="00C8060A">
        <w:rPr>
          <w:rFonts w:ascii="Garamond" w:eastAsia="Times New Roman" w:hAnsi="Garamond" w:cs="Arial"/>
          <w:bdr w:val="none" w:sz="0" w:space="0" w:color="auto"/>
        </w:rPr>
        <w:t xml:space="preserve">? What role </w:t>
      </w:r>
      <w:r w:rsidR="00456494">
        <w:rPr>
          <w:rFonts w:ascii="Garamond" w:eastAsia="Times New Roman" w:hAnsi="Garamond" w:cs="Arial"/>
          <w:bdr w:val="none" w:sz="0" w:space="0" w:color="auto"/>
        </w:rPr>
        <w:t xml:space="preserve">should technology play in addressing the climate crisis? Why </w:t>
      </w:r>
      <w:r w:rsidR="00596DFA">
        <w:rPr>
          <w:rFonts w:ascii="Garamond" w:eastAsia="Times New Roman" w:hAnsi="Garamond" w:cs="Arial"/>
          <w:bdr w:val="none" w:sz="0" w:space="0" w:color="auto"/>
        </w:rPr>
        <w:t xml:space="preserve">have recent generations so far failed </w:t>
      </w:r>
      <w:r w:rsidR="00193A19">
        <w:rPr>
          <w:rFonts w:ascii="Garamond" w:eastAsia="Times New Roman" w:hAnsi="Garamond" w:cs="Arial"/>
          <w:bdr w:val="none" w:sz="0" w:space="0" w:color="auto"/>
        </w:rPr>
        <w:t>to take climate action, and how should future generations regard us?</w:t>
      </w:r>
      <w:r w:rsidR="00294E87">
        <w:rPr>
          <w:rFonts w:ascii="Garamond" w:eastAsia="Times New Roman" w:hAnsi="Garamond" w:cs="Arial"/>
          <w:bdr w:val="none" w:sz="0" w:space="0" w:color="auto"/>
        </w:rPr>
        <w:t xml:space="preserve"> </w:t>
      </w:r>
    </w:p>
    <w:p w14:paraId="7BE23D3C" w14:textId="01D8874A" w:rsidR="00602651" w:rsidRPr="00760527" w:rsidRDefault="00890591" w:rsidP="000E6B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Garamond" w:eastAsia="Times New Roman" w:hAnsi="Garamond" w:cs="Arial"/>
          <w:bdr w:val="none" w:sz="0" w:space="0" w:color="auto"/>
        </w:rPr>
      </w:pPr>
      <w:r w:rsidRPr="00760527">
        <w:rPr>
          <w:rFonts w:ascii="Garamond" w:eastAsia="Times New Roman" w:hAnsi="Garamond" w:cs="Arial"/>
          <w:bdr w:val="none" w:sz="0" w:space="0" w:color="auto"/>
        </w:rPr>
        <w:t>If successful, you</w:t>
      </w:r>
      <w:r w:rsidR="001E19CE" w:rsidRPr="00760527">
        <w:rPr>
          <w:rFonts w:ascii="Garamond" w:eastAsia="Times New Roman" w:hAnsi="Garamond" w:cs="Arial"/>
          <w:bdr w:val="none" w:sz="0" w:space="0" w:color="auto"/>
        </w:rPr>
        <w:t xml:space="preserve"> will leave this course </w:t>
      </w:r>
      <w:r w:rsidR="00C66077" w:rsidRPr="00760527">
        <w:rPr>
          <w:rFonts w:ascii="Garamond" w:eastAsia="Times New Roman" w:hAnsi="Garamond" w:cs="Arial"/>
          <w:bdr w:val="none" w:sz="0" w:space="0" w:color="auto"/>
        </w:rPr>
        <w:t>with</w:t>
      </w:r>
      <w:r w:rsidR="001E19CE" w:rsidRPr="00760527">
        <w:rPr>
          <w:rFonts w:ascii="Garamond" w:eastAsia="Times New Roman" w:hAnsi="Garamond" w:cs="Arial"/>
          <w:bdr w:val="none" w:sz="0" w:space="0" w:color="auto"/>
        </w:rPr>
        <w:t xml:space="preserve"> 1) </w:t>
      </w:r>
      <w:r w:rsidR="00602651" w:rsidRPr="00760527">
        <w:rPr>
          <w:rFonts w:ascii="Garamond" w:eastAsia="Times New Roman" w:hAnsi="Garamond" w:cs="Arial"/>
          <w:bdr w:val="none" w:sz="0" w:space="0" w:color="auto"/>
        </w:rPr>
        <w:t xml:space="preserve">better </w:t>
      </w:r>
      <w:r w:rsidR="00C66077" w:rsidRPr="00760527">
        <w:rPr>
          <w:rFonts w:ascii="Garamond" w:eastAsia="Times New Roman" w:hAnsi="Garamond" w:cs="Arial"/>
          <w:bdr w:val="none" w:sz="0" w:space="0" w:color="auto"/>
        </w:rPr>
        <w:t>knowledge of moral reasoning; (2) an ability</w:t>
      </w:r>
      <w:r w:rsidR="001E19CE" w:rsidRPr="00760527">
        <w:rPr>
          <w:rFonts w:ascii="Garamond" w:eastAsia="Times New Roman" w:hAnsi="Garamond" w:cs="Arial"/>
          <w:bdr w:val="none" w:sz="0" w:space="0" w:color="auto"/>
        </w:rPr>
        <w:t xml:space="preserve"> to </w:t>
      </w:r>
      <w:r w:rsidR="00C66077" w:rsidRPr="00760527">
        <w:rPr>
          <w:rFonts w:ascii="Garamond" w:eastAsia="Times New Roman" w:hAnsi="Garamond" w:cs="Arial"/>
          <w:bdr w:val="none" w:sz="0" w:space="0" w:color="auto"/>
        </w:rPr>
        <w:t>critically analyze</w:t>
      </w:r>
      <w:r w:rsidR="000E6B32" w:rsidRPr="00760527">
        <w:rPr>
          <w:rFonts w:ascii="Garamond" w:eastAsia="Times New Roman" w:hAnsi="Garamond" w:cs="Arial"/>
          <w:bdr w:val="none" w:sz="0" w:space="0" w:color="auto"/>
        </w:rPr>
        <w:t xml:space="preserve"> </w:t>
      </w:r>
      <w:r w:rsidR="00C66077" w:rsidRPr="00760527">
        <w:rPr>
          <w:rFonts w:ascii="Garamond" w:eastAsia="Times New Roman" w:hAnsi="Garamond" w:cs="Arial"/>
          <w:bdr w:val="none" w:sz="0" w:space="0" w:color="auto"/>
        </w:rPr>
        <w:t xml:space="preserve">novel </w:t>
      </w:r>
      <w:r w:rsidR="001E19CE" w:rsidRPr="00760527">
        <w:rPr>
          <w:rFonts w:ascii="Garamond" w:eastAsia="Times New Roman" w:hAnsi="Garamond" w:cs="Arial"/>
          <w:bdr w:val="none" w:sz="0" w:space="0" w:color="auto"/>
        </w:rPr>
        <w:t xml:space="preserve">moral problems; </w:t>
      </w:r>
      <w:r w:rsidR="00C66077" w:rsidRPr="00760527">
        <w:rPr>
          <w:rFonts w:ascii="Garamond" w:eastAsia="Times New Roman" w:hAnsi="Garamond" w:cs="Arial"/>
          <w:bdr w:val="none" w:sz="0" w:space="0" w:color="auto"/>
        </w:rPr>
        <w:t xml:space="preserve">and (3) a heightened sensitivity to </w:t>
      </w:r>
      <w:r w:rsidR="00602651" w:rsidRPr="00760527">
        <w:rPr>
          <w:rFonts w:ascii="Garamond" w:eastAsia="Times New Roman" w:hAnsi="Garamond" w:cs="Arial"/>
          <w:bdr w:val="none" w:sz="0" w:space="0" w:color="auto"/>
        </w:rPr>
        <w:t xml:space="preserve">the </w:t>
      </w:r>
      <w:r w:rsidR="00C66077" w:rsidRPr="00760527">
        <w:rPr>
          <w:rFonts w:ascii="Garamond" w:eastAsia="Times New Roman" w:hAnsi="Garamond" w:cs="Arial"/>
          <w:bdr w:val="none" w:sz="0" w:space="0" w:color="auto"/>
        </w:rPr>
        <w:t>ethical blind spots</w:t>
      </w:r>
      <w:r w:rsidR="00602651" w:rsidRPr="00760527">
        <w:rPr>
          <w:rFonts w:ascii="Garamond" w:eastAsia="Times New Roman" w:hAnsi="Garamond" w:cs="Arial"/>
          <w:bdr w:val="none" w:sz="0" w:space="0" w:color="auto"/>
        </w:rPr>
        <w:t xml:space="preserve"> that we all have. </w:t>
      </w:r>
    </w:p>
    <w:p w14:paraId="7005D712" w14:textId="77777777" w:rsidR="00665DAC" w:rsidRDefault="00665DAC" w:rsidP="00665DAC">
      <w:pPr>
        <w:rPr>
          <w:rFonts w:ascii="Garamond" w:eastAsia="Times New Roman" w:hAnsi="Garamond" w:cs="Arial"/>
          <w:sz w:val="20"/>
          <w:szCs w:val="20"/>
          <w:bdr w:val="none" w:sz="0" w:space="0" w:color="auto"/>
        </w:rPr>
      </w:pPr>
    </w:p>
    <w:p w14:paraId="2E07CAAA" w14:textId="4B325D2D" w:rsidR="001F0466" w:rsidRPr="009B150E" w:rsidRDefault="00B27A33" w:rsidP="00665DAC">
      <w:pPr>
        <w:rPr>
          <w:rFonts w:ascii="Garamond" w:eastAsia="Times New Roman" w:hAnsi="Garamond" w:cs="Arial"/>
          <w:sz w:val="28"/>
          <w:szCs w:val="28"/>
          <w:bdr w:val="none" w:sz="0" w:space="0" w:color="auto"/>
        </w:rPr>
      </w:pPr>
      <w:r w:rsidRPr="009B150E">
        <w:rPr>
          <w:rFonts w:ascii="Garamond" w:hAnsi="Garamond"/>
          <w:b/>
          <w:bCs/>
          <w:sz w:val="28"/>
          <w:szCs w:val="28"/>
        </w:rPr>
        <w:t>Course Requirements and Grading:</w:t>
      </w:r>
    </w:p>
    <w:p w14:paraId="7BF6A94E" w14:textId="00C7D8F0" w:rsidR="001F0466" w:rsidRPr="00760527" w:rsidRDefault="00B27A33" w:rsidP="00AE0540">
      <w:pPr>
        <w:pStyle w:val="Body"/>
        <w:ind w:left="720"/>
        <w:jc w:val="both"/>
        <w:rPr>
          <w:rFonts w:ascii="Garamond" w:hAnsi="Garamond"/>
          <w:b/>
          <w:bCs/>
          <w:sz w:val="24"/>
          <w:szCs w:val="24"/>
        </w:rPr>
      </w:pPr>
      <w:r w:rsidRPr="00760527">
        <w:rPr>
          <w:rFonts w:ascii="Garamond" w:eastAsia="Times New Roman" w:hAnsi="Garamond" w:cs="Times New Roman"/>
          <w:b/>
          <w:bCs/>
          <w:i/>
          <w:iCs/>
          <w:sz w:val="24"/>
          <w:szCs w:val="24"/>
        </w:rPr>
        <w:t>Class Participation</w:t>
      </w:r>
      <w:r w:rsidR="00B27A64" w:rsidRPr="00760527">
        <w:rPr>
          <w:rFonts w:ascii="Garamond" w:eastAsia="Times New Roman" w:hAnsi="Garamond" w:cs="Times New Roman"/>
          <w:b/>
          <w:bCs/>
          <w:i/>
          <w:iCs/>
          <w:sz w:val="24"/>
          <w:szCs w:val="24"/>
        </w:rPr>
        <w:t xml:space="preserve"> (</w:t>
      </w:r>
      <w:r w:rsidR="007F64A6">
        <w:rPr>
          <w:rFonts w:ascii="Garamond" w:eastAsia="Times New Roman" w:hAnsi="Garamond" w:cs="Times New Roman"/>
          <w:b/>
          <w:bCs/>
          <w:i/>
          <w:iCs/>
          <w:sz w:val="24"/>
          <w:szCs w:val="24"/>
        </w:rPr>
        <w:t>2</w:t>
      </w:r>
      <w:r w:rsidR="00B27A64" w:rsidRPr="00760527">
        <w:rPr>
          <w:rFonts w:ascii="Garamond" w:eastAsia="Times New Roman" w:hAnsi="Garamond" w:cs="Times New Roman"/>
          <w:b/>
          <w:bCs/>
          <w:i/>
          <w:iCs/>
          <w:sz w:val="24"/>
          <w:szCs w:val="24"/>
        </w:rPr>
        <w:t>0%)</w:t>
      </w:r>
      <w:r w:rsidRPr="00760527">
        <w:rPr>
          <w:rFonts w:ascii="Garamond" w:eastAsia="Times New Roman" w:hAnsi="Garamond" w:cs="Times New Roman"/>
          <w:b/>
          <w:bCs/>
          <w:i/>
          <w:iCs/>
          <w:sz w:val="24"/>
          <w:szCs w:val="24"/>
        </w:rPr>
        <w:t>:</w:t>
      </w:r>
      <w:r w:rsidRPr="00760527">
        <w:rPr>
          <w:rFonts w:ascii="Garamond" w:eastAsia="Times New Roman" w:hAnsi="Garamond" w:cs="Times New Roman"/>
          <w:b/>
          <w:bCs/>
          <w:sz w:val="24"/>
          <w:szCs w:val="24"/>
        </w:rPr>
        <w:t xml:space="preserve"> </w:t>
      </w:r>
      <w:r w:rsidRPr="00760527">
        <w:rPr>
          <w:rFonts w:ascii="Garamond" w:hAnsi="Garamond"/>
          <w:sz w:val="24"/>
          <w:szCs w:val="24"/>
        </w:rPr>
        <w:t xml:space="preserve">You </w:t>
      </w:r>
      <w:r w:rsidR="000E6B32" w:rsidRPr="00760527">
        <w:rPr>
          <w:rFonts w:ascii="Garamond" w:hAnsi="Garamond"/>
          <w:sz w:val="24"/>
          <w:szCs w:val="24"/>
        </w:rPr>
        <w:t>are</w:t>
      </w:r>
      <w:r w:rsidRPr="00760527">
        <w:rPr>
          <w:rFonts w:ascii="Garamond" w:hAnsi="Garamond"/>
          <w:sz w:val="24"/>
          <w:szCs w:val="24"/>
        </w:rPr>
        <w:t xml:space="preserve"> expected to </w:t>
      </w:r>
      <w:proofErr w:type="gramStart"/>
      <w:r w:rsidRPr="00760527">
        <w:rPr>
          <w:rFonts w:ascii="Garamond" w:hAnsi="Garamond"/>
          <w:sz w:val="24"/>
          <w:szCs w:val="24"/>
        </w:rPr>
        <w:t xml:space="preserve">regularly attend </w:t>
      </w:r>
      <w:r w:rsidR="000E6B32" w:rsidRPr="00760527">
        <w:rPr>
          <w:rFonts w:ascii="Garamond" w:hAnsi="Garamond"/>
          <w:sz w:val="24"/>
          <w:szCs w:val="24"/>
        </w:rPr>
        <w:t>&amp;</w:t>
      </w:r>
      <w:r w:rsidRPr="00760527">
        <w:rPr>
          <w:rFonts w:ascii="Garamond" w:hAnsi="Garamond"/>
          <w:sz w:val="24"/>
          <w:szCs w:val="24"/>
        </w:rPr>
        <w:t xml:space="preserve"> respectfully</w:t>
      </w:r>
      <w:r w:rsidR="00AE0540" w:rsidRPr="00760527">
        <w:rPr>
          <w:rFonts w:ascii="Garamond" w:hAnsi="Garamond"/>
          <w:sz w:val="24"/>
          <w:szCs w:val="24"/>
        </w:rPr>
        <w:t xml:space="preserve"> </w:t>
      </w:r>
      <w:r w:rsidRPr="00760527">
        <w:rPr>
          <w:rFonts w:ascii="Garamond" w:hAnsi="Garamond"/>
          <w:sz w:val="24"/>
          <w:szCs w:val="24"/>
        </w:rPr>
        <w:t>participate</w:t>
      </w:r>
      <w:proofErr w:type="gramEnd"/>
      <w:r w:rsidRPr="00760527">
        <w:rPr>
          <w:rFonts w:ascii="Garamond" w:hAnsi="Garamond"/>
          <w:sz w:val="24"/>
          <w:szCs w:val="24"/>
        </w:rPr>
        <w:t>. Come having carefully done the reading</w:t>
      </w:r>
      <w:r w:rsidR="00AE0540" w:rsidRPr="00760527">
        <w:rPr>
          <w:rFonts w:ascii="Garamond" w:hAnsi="Garamond"/>
          <w:sz w:val="24"/>
          <w:szCs w:val="24"/>
        </w:rPr>
        <w:t>, watched the lecture</w:t>
      </w:r>
      <w:r w:rsidRPr="00760527">
        <w:rPr>
          <w:rFonts w:ascii="Garamond" w:hAnsi="Garamond"/>
          <w:sz w:val="24"/>
          <w:szCs w:val="24"/>
        </w:rPr>
        <w:t>,</w:t>
      </w:r>
      <w:r w:rsidR="00AE0540" w:rsidRPr="00760527">
        <w:rPr>
          <w:rFonts w:ascii="Garamond" w:hAnsi="Garamond"/>
          <w:sz w:val="24"/>
          <w:szCs w:val="24"/>
        </w:rPr>
        <w:t xml:space="preserve"> &amp;</w:t>
      </w:r>
      <w:r w:rsidRPr="00760527">
        <w:rPr>
          <w:rFonts w:ascii="Garamond" w:hAnsi="Garamond"/>
          <w:sz w:val="24"/>
          <w:szCs w:val="24"/>
        </w:rPr>
        <w:t xml:space="preserve"> ready to contribute. </w:t>
      </w:r>
      <w:proofErr w:type="gramStart"/>
      <w:r w:rsidR="001E58AE">
        <w:rPr>
          <w:rFonts w:ascii="Garamond" w:hAnsi="Garamond"/>
          <w:sz w:val="24"/>
          <w:szCs w:val="24"/>
        </w:rPr>
        <w:t xml:space="preserve">Alternatively,  </w:t>
      </w:r>
      <w:r w:rsidR="00287D92">
        <w:rPr>
          <w:rFonts w:ascii="Garamond" w:hAnsi="Garamond"/>
          <w:sz w:val="24"/>
          <w:szCs w:val="24"/>
        </w:rPr>
        <w:t>fill</w:t>
      </w:r>
      <w:proofErr w:type="gramEnd"/>
      <w:r w:rsidR="00287D92">
        <w:rPr>
          <w:rFonts w:ascii="Garamond" w:hAnsi="Garamond"/>
          <w:sz w:val="24"/>
          <w:szCs w:val="24"/>
        </w:rPr>
        <w:t xml:space="preserve"> out the make-up worksheets I will provide. </w:t>
      </w:r>
    </w:p>
    <w:p w14:paraId="5745D88A" w14:textId="1C82C5CB" w:rsidR="00AA0428" w:rsidRPr="00760527" w:rsidRDefault="00AA0428" w:rsidP="00AE0540">
      <w:pPr>
        <w:pStyle w:val="Body"/>
        <w:ind w:left="720"/>
        <w:jc w:val="both"/>
        <w:rPr>
          <w:rFonts w:ascii="Garamond" w:hAnsi="Garamond"/>
          <w:b/>
          <w:bCs/>
          <w:sz w:val="24"/>
          <w:szCs w:val="24"/>
        </w:rPr>
      </w:pPr>
      <w:r w:rsidRPr="00760527">
        <w:rPr>
          <w:rFonts w:ascii="Garamond" w:hAnsi="Garamond"/>
          <w:b/>
          <w:bCs/>
          <w:i/>
          <w:iCs/>
          <w:sz w:val="24"/>
          <w:szCs w:val="24"/>
        </w:rPr>
        <w:lastRenderedPageBreak/>
        <w:t>Quizzes</w:t>
      </w:r>
      <w:r w:rsidR="00B27A64" w:rsidRPr="00760527">
        <w:rPr>
          <w:rFonts w:ascii="Garamond" w:hAnsi="Garamond"/>
          <w:b/>
          <w:bCs/>
          <w:i/>
          <w:iCs/>
          <w:sz w:val="24"/>
          <w:szCs w:val="24"/>
        </w:rPr>
        <w:t xml:space="preserve"> (20%)</w:t>
      </w:r>
      <w:r w:rsidRPr="00760527">
        <w:rPr>
          <w:rFonts w:ascii="Garamond" w:hAnsi="Garamond"/>
          <w:b/>
          <w:bCs/>
          <w:i/>
          <w:iCs/>
          <w:sz w:val="24"/>
          <w:szCs w:val="24"/>
        </w:rPr>
        <w:t>:</w:t>
      </w:r>
      <w:r w:rsidRPr="00760527">
        <w:rPr>
          <w:rFonts w:ascii="Garamond" w:hAnsi="Garamond"/>
          <w:b/>
          <w:bCs/>
          <w:sz w:val="24"/>
          <w:szCs w:val="24"/>
        </w:rPr>
        <w:t xml:space="preserve"> </w:t>
      </w:r>
      <w:r w:rsidRPr="00760527">
        <w:rPr>
          <w:rFonts w:ascii="Garamond" w:hAnsi="Garamond"/>
          <w:sz w:val="24"/>
          <w:szCs w:val="24"/>
        </w:rPr>
        <w:t>We will have daily quizzes on the reading and lecture.</w:t>
      </w:r>
    </w:p>
    <w:p w14:paraId="7E88B118" w14:textId="111FA717" w:rsidR="004956B9" w:rsidRPr="00760527" w:rsidRDefault="00335001" w:rsidP="00AE0540">
      <w:pPr>
        <w:pStyle w:val="Body"/>
        <w:ind w:left="720"/>
        <w:jc w:val="both"/>
        <w:rPr>
          <w:rFonts w:ascii="Garamond" w:eastAsia="Times New Roman" w:hAnsi="Garamond" w:cs="Times New Roman"/>
          <w:b/>
          <w:bCs/>
          <w:sz w:val="24"/>
          <w:szCs w:val="24"/>
        </w:rPr>
      </w:pPr>
      <w:r>
        <w:rPr>
          <w:rFonts w:ascii="Garamond" w:eastAsia="Times New Roman" w:hAnsi="Garamond" w:cs="Times New Roman"/>
          <w:b/>
          <w:bCs/>
          <w:i/>
          <w:iCs/>
          <w:sz w:val="24"/>
          <w:szCs w:val="24"/>
        </w:rPr>
        <w:t>Mid</w:t>
      </w:r>
      <w:r w:rsidR="007C547D">
        <w:rPr>
          <w:rFonts w:ascii="Garamond" w:eastAsia="Times New Roman" w:hAnsi="Garamond" w:cs="Times New Roman"/>
          <w:b/>
          <w:bCs/>
          <w:i/>
          <w:iCs/>
          <w:sz w:val="24"/>
          <w:szCs w:val="24"/>
        </w:rPr>
        <w:t>-</w:t>
      </w:r>
      <w:r>
        <w:rPr>
          <w:rFonts w:ascii="Garamond" w:eastAsia="Times New Roman" w:hAnsi="Garamond" w:cs="Times New Roman"/>
          <w:b/>
          <w:bCs/>
          <w:i/>
          <w:iCs/>
          <w:sz w:val="24"/>
          <w:szCs w:val="24"/>
        </w:rPr>
        <w:t>Term</w:t>
      </w:r>
      <w:r w:rsidR="00FA7219" w:rsidRPr="00760527">
        <w:rPr>
          <w:rFonts w:ascii="Garamond" w:eastAsia="Times New Roman" w:hAnsi="Garamond" w:cs="Times New Roman"/>
          <w:b/>
          <w:bCs/>
          <w:i/>
          <w:iCs/>
          <w:sz w:val="24"/>
          <w:szCs w:val="24"/>
        </w:rPr>
        <w:t xml:space="preserve"> Paper</w:t>
      </w:r>
      <w:r w:rsidR="00B27A64" w:rsidRPr="00760527">
        <w:rPr>
          <w:rFonts w:ascii="Garamond" w:eastAsia="Times New Roman" w:hAnsi="Garamond" w:cs="Times New Roman"/>
          <w:b/>
          <w:bCs/>
          <w:i/>
          <w:iCs/>
          <w:sz w:val="24"/>
          <w:szCs w:val="24"/>
        </w:rPr>
        <w:t xml:space="preserve"> (</w:t>
      </w:r>
      <w:r w:rsidR="00B20740">
        <w:rPr>
          <w:rFonts w:ascii="Garamond" w:eastAsia="Times New Roman" w:hAnsi="Garamond" w:cs="Times New Roman"/>
          <w:b/>
          <w:bCs/>
          <w:i/>
          <w:iCs/>
          <w:sz w:val="24"/>
          <w:szCs w:val="24"/>
        </w:rPr>
        <w:t>15</w:t>
      </w:r>
      <w:r w:rsidR="00B27A64" w:rsidRPr="00760527">
        <w:rPr>
          <w:rFonts w:ascii="Garamond" w:eastAsia="Times New Roman" w:hAnsi="Garamond" w:cs="Times New Roman"/>
          <w:b/>
          <w:bCs/>
          <w:i/>
          <w:iCs/>
          <w:sz w:val="24"/>
          <w:szCs w:val="24"/>
        </w:rPr>
        <w:t>%)</w:t>
      </w:r>
      <w:r w:rsidR="00FA7219" w:rsidRPr="00760527">
        <w:rPr>
          <w:rFonts w:ascii="Garamond" w:eastAsia="Times New Roman" w:hAnsi="Garamond" w:cs="Times New Roman"/>
          <w:b/>
          <w:bCs/>
          <w:i/>
          <w:iCs/>
          <w:sz w:val="24"/>
          <w:szCs w:val="24"/>
        </w:rPr>
        <w:t xml:space="preserve">: </w:t>
      </w:r>
      <w:r w:rsidR="001C79F8" w:rsidRPr="00760527">
        <w:rPr>
          <w:rFonts w:ascii="Garamond" w:eastAsia="Times New Roman" w:hAnsi="Garamond" w:cs="Times New Roman"/>
          <w:sz w:val="24"/>
          <w:szCs w:val="24"/>
        </w:rPr>
        <w:t xml:space="preserve">You will write a </w:t>
      </w:r>
      <w:proofErr w:type="gramStart"/>
      <w:r w:rsidR="008743BA" w:rsidRPr="00760527">
        <w:rPr>
          <w:rFonts w:ascii="Garamond" w:eastAsia="Times New Roman" w:hAnsi="Garamond" w:cs="Times New Roman"/>
          <w:sz w:val="24"/>
          <w:szCs w:val="24"/>
        </w:rPr>
        <w:t>1000-1250 word</w:t>
      </w:r>
      <w:proofErr w:type="gramEnd"/>
      <w:r w:rsidR="008743BA" w:rsidRPr="00760527">
        <w:rPr>
          <w:rFonts w:ascii="Garamond" w:eastAsia="Times New Roman" w:hAnsi="Garamond" w:cs="Times New Roman"/>
          <w:sz w:val="24"/>
          <w:szCs w:val="24"/>
        </w:rPr>
        <w:t xml:space="preserve"> </w:t>
      </w:r>
      <w:r w:rsidR="00122550" w:rsidRPr="00760527">
        <w:rPr>
          <w:rFonts w:ascii="Garamond" w:eastAsia="Times New Roman" w:hAnsi="Garamond" w:cs="Times New Roman"/>
          <w:sz w:val="24"/>
          <w:szCs w:val="24"/>
        </w:rPr>
        <w:t>critical summ</w:t>
      </w:r>
      <w:r w:rsidR="00FD2187" w:rsidRPr="00760527">
        <w:rPr>
          <w:rFonts w:ascii="Garamond" w:eastAsia="Times New Roman" w:hAnsi="Garamond" w:cs="Times New Roman"/>
          <w:sz w:val="24"/>
          <w:szCs w:val="24"/>
        </w:rPr>
        <w:t xml:space="preserve">ary on effective altruism, </w:t>
      </w:r>
      <w:r w:rsidR="006D3393">
        <w:rPr>
          <w:rFonts w:ascii="Garamond" w:eastAsia="Times New Roman" w:hAnsi="Garamond" w:cs="Times New Roman"/>
          <w:sz w:val="24"/>
          <w:szCs w:val="24"/>
        </w:rPr>
        <w:t>abortion</w:t>
      </w:r>
      <w:r w:rsidR="00FD2187" w:rsidRPr="00760527">
        <w:rPr>
          <w:rFonts w:ascii="Garamond" w:eastAsia="Times New Roman" w:hAnsi="Garamond" w:cs="Times New Roman"/>
          <w:sz w:val="24"/>
          <w:szCs w:val="24"/>
        </w:rPr>
        <w:t xml:space="preserve">, </w:t>
      </w:r>
      <w:r w:rsidR="00F6270E">
        <w:rPr>
          <w:rFonts w:ascii="Garamond" w:eastAsia="Times New Roman" w:hAnsi="Garamond" w:cs="Times New Roman"/>
          <w:sz w:val="24"/>
          <w:szCs w:val="24"/>
        </w:rPr>
        <w:t xml:space="preserve">or </w:t>
      </w:r>
      <w:r w:rsidR="00FD2187" w:rsidRPr="00760527">
        <w:rPr>
          <w:rFonts w:ascii="Garamond" w:eastAsia="Times New Roman" w:hAnsi="Garamond" w:cs="Times New Roman"/>
          <w:sz w:val="24"/>
          <w:szCs w:val="24"/>
        </w:rPr>
        <w:t xml:space="preserve">the </w:t>
      </w:r>
      <w:r w:rsidR="006D3393">
        <w:rPr>
          <w:rFonts w:ascii="Garamond" w:eastAsia="Times New Roman" w:hAnsi="Garamond" w:cs="Times New Roman"/>
          <w:sz w:val="24"/>
          <w:szCs w:val="24"/>
        </w:rPr>
        <w:t>ethics of meat-eating</w:t>
      </w:r>
      <w:r w:rsidR="007C547D">
        <w:rPr>
          <w:rFonts w:ascii="Garamond" w:eastAsia="Times New Roman" w:hAnsi="Garamond" w:cs="Times New Roman"/>
          <w:sz w:val="24"/>
          <w:szCs w:val="24"/>
        </w:rPr>
        <w:t>.</w:t>
      </w:r>
      <w:r w:rsidR="00BB4446">
        <w:rPr>
          <w:rFonts w:ascii="Garamond" w:eastAsia="Times New Roman" w:hAnsi="Garamond" w:cs="Times New Roman"/>
          <w:sz w:val="24"/>
          <w:szCs w:val="24"/>
        </w:rPr>
        <w:t xml:space="preserve"> This is a relatively low-stakes assignment, and </w:t>
      </w:r>
      <w:r w:rsidR="00E0031D" w:rsidRPr="00760527">
        <w:rPr>
          <w:rFonts w:ascii="Garamond" w:eastAsia="Times New Roman" w:hAnsi="Garamond" w:cs="Times New Roman"/>
          <w:sz w:val="24"/>
          <w:szCs w:val="24"/>
        </w:rPr>
        <w:t xml:space="preserve">I will give substantive feedback. Due </w:t>
      </w:r>
      <w:r w:rsidR="006D3393">
        <w:rPr>
          <w:rFonts w:ascii="Garamond" w:eastAsia="Times New Roman" w:hAnsi="Garamond" w:cs="Times New Roman"/>
          <w:sz w:val="24"/>
          <w:szCs w:val="24"/>
        </w:rPr>
        <w:t>7</w:t>
      </w:r>
      <w:r w:rsidR="00E0031D" w:rsidRPr="00760527">
        <w:rPr>
          <w:rFonts w:ascii="Garamond" w:eastAsia="Times New Roman" w:hAnsi="Garamond" w:cs="Times New Roman"/>
          <w:sz w:val="24"/>
          <w:szCs w:val="24"/>
        </w:rPr>
        <w:t>/</w:t>
      </w:r>
      <w:r w:rsidR="00F6270E">
        <w:rPr>
          <w:rFonts w:ascii="Garamond" w:eastAsia="Times New Roman" w:hAnsi="Garamond" w:cs="Times New Roman"/>
          <w:sz w:val="24"/>
          <w:szCs w:val="24"/>
        </w:rPr>
        <w:t>6</w:t>
      </w:r>
      <w:r w:rsidR="006E05C8">
        <w:rPr>
          <w:rFonts w:ascii="Garamond" w:eastAsia="Times New Roman" w:hAnsi="Garamond" w:cs="Times New Roman"/>
          <w:sz w:val="24"/>
          <w:szCs w:val="24"/>
        </w:rPr>
        <w:t>.</w:t>
      </w:r>
      <w:r w:rsidR="00E0031D" w:rsidRPr="00760527">
        <w:rPr>
          <w:rFonts w:ascii="Garamond" w:eastAsia="Times New Roman" w:hAnsi="Garamond" w:cs="Times New Roman"/>
          <w:sz w:val="24"/>
          <w:szCs w:val="24"/>
        </w:rPr>
        <w:t xml:space="preserve"> </w:t>
      </w:r>
    </w:p>
    <w:p w14:paraId="147BA4E2" w14:textId="2B911CA2" w:rsidR="00A41F3D" w:rsidRPr="00760527" w:rsidRDefault="00A41F3D" w:rsidP="00E0031D">
      <w:pPr>
        <w:pStyle w:val="Body"/>
        <w:ind w:left="720"/>
        <w:jc w:val="both"/>
        <w:rPr>
          <w:rFonts w:ascii="Garamond" w:eastAsia="Times New Roman" w:hAnsi="Garamond" w:cs="Times New Roman"/>
          <w:b/>
          <w:bCs/>
          <w:sz w:val="24"/>
          <w:szCs w:val="24"/>
        </w:rPr>
      </w:pPr>
      <w:r w:rsidRPr="00760527">
        <w:rPr>
          <w:rFonts w:ascii="Garamond" w:hAnsi="Garamond"/>
          <w:b/>
          <w:bCs/>
          <w:i/>
          <w:iCs/>
          <w:sz w:val="24"/>
          <w:szCs w:val="24"/>
        </w:rPr>
        <w:t>Paper Abstract</w:t>
      </w:r>
      <w:r w:rsidR="00B27A64" w:rsidRPr="00760527">
        <w:rPr>
          <w:rFonts w:ascii="Garamond" w:hAnsi="Garamond"/>
          <w:b/>
          <w:bCs/>
          <w:i/>
          <w:iCs/>
          <w:sz w:val="24"/>
          <w:szCs w:val="24"/>
        </w:rPr>
        <w:t xml:space="preserve"> (10%)</w:t>
      </w:r>
      <w:r w:rsidRPr="00760527">
        <w:rPr>
          <w:rFonts w:ascii="Garamond" w:hAnsi="Garamond"/>
          <w:i/>
          <w:iCs/>
          <w:sz w:val="24"/>
          <w:szCs w:val="24"/>
        </w:rPr>
        <w:t>:</w:t>
      </w:r>
      <w:r w:rsidRPr="00760527">
        <w:rPr>
          <w:rFonts w:ascii="Garamond" w:hAnsi="Garamond"/>
          <w:sz w:val="24"/>
          <w:szCs w:val="24"/>
        </w:rPr>
        <w:t xml:space="preserve"> You will submit an introduction and outline of your </w:t>
      </w:r>
      <w:r w:rsidR="00237A64" w:rsidRPr="00760527">
        <w:rPr>
          <w:rFonts w:ascii="Garamond" w:hAnsi="Garamond"/>
          <w:sz w:val="24"/>
          <w:szCs w:val="24"/>
        </w:rPr>
        <w:t>term</w:t>
      </w:r>
      <w:r w:rsidRPr="00760527">
        <w:rPr>
          <w:rFonts w:ascii="Garamond" w:hAnsi="Garamond"/>
          <w:sz w:val="24"/>
          <w:szCs w:val="24"/>
        </w:rPr>
        <w:t xml:space="preserve"> paper</w:t>
      </w:r>
      <w:r w:rsidR="00EF3CDE" w:rsidRPr="00760527">
        <w:rPr>
          <w:rFonts w:ascii="Garamond" w:hAnsi="Garamond"/>
          <w:sz w:val="24"/>
          <w:szCs w:val="24"/>
        </w:rPr>
        <w:t xml:space="preserve"> </w:t>
      </w:r>
      <w:r w:rsidRPr="00760527">
        <w:rPr>
          <w:rFonts w:ascii="Garamond" w:hAnsi="Garamond"/>
          <w:sz w:val="24"/>
          <w:szCs w:val="24"/>
        </w:rPr>
        <w:t>and participate in the in-class peer review session.</w:t>
      </w:r>
      <w:r w:rsidR="006B5EF5">
        <w:rPr>
          <w:rFonts w:ascii="Garamond" w:hAnsi="Garamond"/>
          <w:sz w:val="24"/>
          <w:szCs w:val="24"/>
        </w:rPr>
        <w:t xml:space="preserve"> I will give substantive feedback.</w:t>
      </w:r>
      <w:r w:rsidRPr="00760527">
        <w:rPr>
          <w:rFonts w:ascii="Garamond" w:hAnsi="Garamond"/>
          <w:sz w:val="24"/>
          <w:szCs w:val="24"/>
        </w:rPr>
        <w:t xml:space="preserve"> Due </w:t>
      </w:r>
      <w:r w:rsidR="00C22E64">
        <w:rPr>
          <w:rFonts w:ascii="Garamond" w:hAnsi="Garamond"/>
          <w:sz w:val="24"/>
          <w:szCs w:val="24"/>
        </w:rPr>
        <w:t>7</w:t>
      </w:r>
      <w:r w:rsidR="000E46F1" w:rsidRPr="00760527">
        <w:rPr>
          <w:rFonts w:ascii="Garamond" w:hAnsi="Garamond"/>
          <w:sz w:val="24"/>
          <w:szCs w:val="24"/>
        </w:rPr>
        <w:t>/1</w:t>
      </w:r>
      <w:r w:rsidR="00DE5ECC">
        <w:rPr>
          <w:rFonts w:ascii="Garamond" w:hAnsi="Garamond"/>
          <w:sz w:val="24"/>
          <w:szCs w:val="24"/>
        </w:rPr>
        <w:t>5</w:t>
      </w:r>
      <w:r w:rsidR="006C575C">
        <w:rPr>
          <w:rFonts w:ascii="Garamond" w:hAnsi="Garamond"/>
          <w:sz w:val="24"/>
          <w:szCs w:val="24"/>
        </w:rPr>
        <w:t>.</w:t>
      </w:r>
    </w:p>
    <w:p w14:paraId="3C1BAE14" w14:textId="45B54AD8" w:rsidR="001F0466" w:rsidRPr="00760527" w:rsidRDefault="00B27A33" w:rsidP="00A41F3D">
      <w:pPr>
        <w:pStyle w:val="Body"/>
        <w:ind w:left="720"/>
        <w:jc w:val="both"/>
        <w:rPr>
          <w:rFonts w:ascii="Garamond" w:eastAsia="Times New Roman" w:hAnsi="Garamond" w:cs="Times New Roman"/>
          <w:sz w:val="24"/>
          <w:szCs w:val="24"/>
        </w:rPr>
      </w:pPr>
      <w:r w:rsidRPr="00760527">
        <w:rPr>
          <w:rFonts w:ascii="Garamond" w:eastAsia="Times New Roman" w:hAnsi="Garamond" w:cs="Times New Roman"/>
          <w:b/>
          <w:bCs/>
          <w:i/>
          <w:iCs/>
          <w:sz w:val="24"/>
          <w:szCs w:val="24"/>
        </w:rPr>
        <w:t>Term Paper</w:t>
      </w:r>
      <w:r w:rsidR="00B27A64" w:rsidRPr="00760527">
        <w:rPr>
          <w:rFonts w:ascii="Garamond" w:eastAsia="Times New Roman" w:hAnsi="Garamond" w:cs="Times New Roman"/>
          <w:b/>
          <w:bCs/>
          <w:i/>
          <w:iCs/>
          <w:sz w:val="24"/>
          <w:szCs w:val="24"/>
        </w:rPr>
        <w:t xml:space="preserve"> (3</w:t>
      </w:r>
      <w:r w:rsidR="00B20740">
        <w:rPr>
          <w:rFonts w:ascii="Garamond" w:eastAsia="Times New Roman" w:hAnsi="Garamond" w:cs="Times New Roman"/>
          <w:b/>
          <w:bCs/>
          <w:i/>
          <w:iCs/>
          <w:sz w:val="24"/>
          <w:szCs w:val="24"/>
        </w:rPr>
        <w:t>5</w:t>
      </w:r>
      <w:r w:rsidR="00B27A64" w:rsidRPr="00760527">
        <w:rPr>
          <w:rFonts w:ascii="Garamond" w:eastAsia="Times New Roman" w:hAnsi="Garamond" w:cs="Times New Roman"/>
          <w:b/>
          <w:bCs/>
          <w:i/>
          <w:iCs/>
          <w:sz w:val="24"/>
          <w:szCs w:val="24"/>
        </w:rPr>
        <w:t>%)</w:t>
      </w:r>
      <w:r w:rsidRPr="00760527">
        <w:rPr>
          <w:rFonts w:ascii="Garamond" w:eastAsia="Times New Roman" w:hAnsi="Garamond" w:cs="Times New Roman"/>
          <w:b/>
          <w:bCs/>
          <w:i/>
          <w:iCs/>
          <w:sz w:val="24"/>
          <w:szCs w:val="24"/>
        </w:rPr>
        <w:t>:</w:t>
      </w:r>
      <w:r w:rsidRPr="00760527">
        <w:rPr>
          <w:rFonts w:ascii="Garamond" w:eastAsia="Times New Roman" w:hAnsi="Garamond" w:cs="Times New Roman"/>
          <w:b/>
          <w:bCs/>
          <w:sz w:val="24"/>
          <w:szCs w:val="24"/>
        </w:rPr>
        <w:t xml:space="preserve"> </w:t>
      </w:r>
      <w:r w:rsidRPr="00760527">
        <w:rPr>
          <w:rFonts w:ascii="Garamond" w:hAnsi="Garamond"/>
          <w:sz w:val="24"/>
          <w:szCs w:val="24"/>
        </w:rPr>
        <w:t xml:space="preserve">You will write </w:t>
      </w:r>
      <w:r w:rsidR="00AA0428" w:rsidRPr="00760527">
        <w:rPr>
          <w:rFonts w:ascii="Garamond" w:hAnsi="Garamond"/>
          <w:sz w:val="24"/>
          <w:szCs w:val="24"/>
        </w:rPr>
        <w:t xml:space="preserve">a </w:t>
      </w:r>
      <w:proofErr w:type="gramStart"/>
      <w:r w:rsidR="00CD71D9" w:rsidRPr="00760527">
        <w:rPr>
          <w:rFonts w:ascii="Garamond" w:hAnsi="Garamond"/>
          <w:sz w:val="24"/>
          <w:szCs w:val="24"/>
        </w:rPr>
        <w:t>2000-2500 word</w:t>
      </w:r>
      <w:proofErr w:type="gramEnd"/>
      <w:r w:rsidR="00CD71D9" w:rsidRPr="00760527">
        <w:rPr>
          <w:rFonts w:ascii="Garamond" w:hAnsi="Garamond"/>
          <w:sz w:val="24"/>
          <w:szCs w:val="24"/>
        </w:rPr>
        <w:t xml:space="preserve"> argumentative paper on </w:t>
      </w:r>
      <w:r w:rsidR="004D6D2C">
        <w:rPr>
          <w:rFonts w:ascii="Garamond" w:hAnsi="Garamond"/>
          <w:sz w:val="24"/>
          <w:szCs w:val="24"/>
        </w:rPr>
        <w:t xml:space="preserve">responsibility for justice, immigration, or </w:t>
      </w:r>
      <w:r w:rsidR="00225F95">
        <w:rPr>
          <w:rFonts w:ascii="Garamond" w:hAnsi="Garamond"/>
          <w:sz w:val="24"/>
          <w:szCs w:val="24"/>
        </w:rPr>
        <w:t xml:space="preserve">climate </w:t>
      </w:r>
      <w:r w:rsidR="00DE71C6">
        <w:rPr>
          <w:rFonts w:ascii="Garamond" w:hAnsi="Garamond"/>
          <w:sz w:val="24"/>
          <w:szCs w:val="24"/>
        </w:rPr>
        <w:t>ethics</w:t>
      </w:r>
      <w:r w:rsidRPr="00760527">
        <w:rPr>
          <w:rFonts w:ascii="Garamond" w:hAnsi="Garamond"/>
          <w:sz w:val="24"/>
          <w:szCs w:val="24"/>
        </w:rPr>
        <w:t>.</w:t>
      </w:r>
      <w:r w:rsidR="001E19CE" w:rsidRPr="00760527">
        <w:rPr>
          <w:rFonts w:ascii="Garamond" w:hAnsi="Garamond"/>
          <w:sz w:val="24"/>
          <w:szCs w:val="24"/>
        </w:rPr>
        <w:t xml:space="preserve"> </w:t>
      </w:r>
      <w:r w:rsidRPr="00760527">
        <w:rPr>
          <w:rFonts w:ascii="Garamond" w:hAnsi="Garamond"/>
          <w:sz w:val="24"/>
          <w:szCs w:val="24"/>
        </w:rPr>
        <w:t xml:space="preserve">Due </w:t>
      </w:r>
      <w:r w:rsidR="00946780">
        <w:rPr>
          <w:rFonts w:ascii="Garamond" w:hAnsi="Garamond"/>
          <w:sz w:val="24"/>
          <w:szCs w:val="24"/>
        </w:rPr>
        <w:t>7</w:t>
      </w:r>
      <w:r w:rsidRPr="00760527">
        <w:rPr>
          <w:rFonts w:ascii="Garamond" w:hAnsi="Garamond"/>
          <w:sz w:val="24"/>
          <w:szCs w:val="24"/>
        </w:rPr>
        <w:t>/</w:t>
      </w:r>
      <w:r w:rsidR="00A41F3D" w:rsidRPr="00760527">
        <w:rPr>
          <w:rFonts w:ascii="Garamond" w:hAnsi="Garamond"/>
          <w:sz w:val="24"/>
          <w:szCs w:val="24"/>
        </w:rPr>
        <w:t>2</w:t>
      </w:r>
      <w:r w:rsidR="000E46F1" w:rsidRPr="00760527">
        <w:rPr>
          <w:rFonts w:ascii="Garamond" w:hAnsi="Garamond"/>
          <w:sz w:val="24"/>
          <w:szCs w:val="24"/>
        </w:rPr>
        <w:t>1</w:t>
      </w:r>
      <w:r w:rsidRPr="00760527">
        <w:rPr>
          <w:rFonts w:ascii="Garamond" w:hAnsi="Garamond"/>
          <w:sz w:val="24"/>
          <w:szCs w:val="24"/>
        </w:rPr>
        <w:t xml:space="preserve">. </w:t>
      </w:r>
    </w:p>
    <w:p w14:paraId="4F4442A1" w14:textId="5C98505D" w:rsidR="00EC5816" w:rsidRDefault="00AA0428" w:rsidP="00EC5816">
      <w:pPr>
        <w:pStyle w:val="Body"/>
        <w:ind w:left="720"/>
        <w:jc w:val="both"/>
        <w:rPr>
          <w:rFonts w:ascii="Garamond" w:eastAsia="Times New Roman" w:hAnsi="Garamond" w:cs="Times New Roman"/>
          <w:sz w:val="24"/>
          <w:szCs w:val="24"/>
        </w:rPr>
      </w:pPr>
      <w:r w:rsidRPr="00760527">
        <w:rPr>
          <w:rFonts w:ascii="Garamond" w:eastAsia="Times New Roman" w:hAnsi="Garamond" w:cs="Times New Roman"/>
          <w:b/>
          <w:bCs/>
          <w:i/>
          <w:iCs/>
          <w:sz w:val="24"/>
          <w:szCs w:val="24"/>
        </w:rPr>
        <w:t>Reflection</w:t>
      </w:r>
      <w:r w:rsidR="00B27A64" w:rsidRPr="00760527">
        <w:rPr>
          <w:rFonts w:ascii="Garamond" w:eastAsia="Times New Roman" w:hAnsi="Garamond" w:cs="Times New Roman"/>
          <w:b/>
          <w:bCs/>
          <w:i/>
          <w:iCs/>
          <w:sz w:val="24"/>
          <w:szCs w:val="24"/>
        </w:rPr>
        <w:t xml:space="preserve"> (</w:t>
      </w:r>
      <w:r w:rsidR="00EF71D9">
        <w:rPr>
          <w:rFonts w:ascii="Garamond" w:eastAsia="Times New Roman" w:hAnsi="Garamond" w:cs="Times New Roman"/>
          <w:b/>
          <w:bCs/>
          <w:i/>
          <w:iCs/>
          <w:sz w:val="24"/>
          <w:szCs w:val="24"/>
        </w:rPr>
        <w:t>5% Extra Credit</w:t>
      </w:r>
      <w:r w:rsidR="00B27A64" w:rsidRPr="00760527">
        <w:rPr>
          <w:rFonts w:ascii="Garamond" w:eastAsia="Times New Roman" w:hAnsi="Garamond" w:cs="Times New Roman"/>
          <w:b/>
          <w:bCs/>
          <w:i/>
          <w:iCs/>
          <w:sz w:val="24"/>
          <w:szCs w:val="24"/>
        </w:rPr>
        <w:t>)</w:t>
      </w:r>
      <w:r w:rsidRPr="00760527">
        <w:rPr>
          <w:rFonts w:ascii="Garamond" w:eastAsia="Times New Roman" w:hAnsi="Garamond" w:cs="Times New Roman"/>
          <w:b/>
          <w:bCs/>
          <w:i/>
          <w:iCs/>
          <w:sz w:val="24"/>
          <w:szCs w:val="24"/>
        </w:rPr>
        <w:t>:</w:t>
      </w:r>
      <w:r w:rsidRPr="00760527">
        <w:rPr>
          <w:rFonts w:ascii="Garamond" w:eastAsia="Times New Roman" w:hAnsi="Garamond" w:cs="Times New Roman"/>
          <w:sz w:val="24"/>
          <w:szCs w:val="24"/>
        </w:rPr>
        <w:t xml:space="preserve"> You </w:t>
      </w:r>
      <w:r w:rsidR="00EF71D9">
        <w:rPr>
          <w:rFonts w:ascii="Garamond" w:eastAsia="Times New Roman" w:hAnsi="Garamond" w:cs="Times New Roman"/>
          <w:sz w:val="24"/>
          <w:szCs w:val="24"/>
        </w:rPr>
        <w:t>may</w:t>
      </w:r>
      <w:r w:rsidRPr="00760527">
        <w:rPr>
          <w:rFonts w:ascii="Garamond" w:eastAsia="Times New Roman" w:hAnsi="Garamond" w:cs="Times New Roman"/>
          <w:sz w:val="24"/>
          <w:szCs w:val="24"/>
        </w:rPr>
        <w:t xml:space="preserve"> write a </w:t>
      </w:r>
      <w:proofErr w:type="gramStart"/>
      <w:r w:rsidR="00860D34" w:rsidRPr="00760527">
        <w:rPr>
          <w:rFonts w:ascii="Garamond" w:eastAsia="Times New Roman" w:hAnsi="Garamond" w:cs="Times New Roman"/>
          <w:sz w:val="24"/>
          <w:szCs w:val="24"/>
        </w:rPr>
        <w:t>500 word</w:t>
      </w:r>
      <w:proofErr w:type="gramEnd"/>
      <w:r w:rsidR="00860D34" w:rsidRPr="00760527">
        <w:rPr>
          <w:rFonts w:ascii="Garamond" w:eastAsia="Times New Roman" w:hAnsi="Garamond" w:cs="Times New Roman"/>
          <w:sz w:val="24"/>
          <w:szCs w:val="24"/>
        </w:rPr>
        <w:t xml:space="preserve"> </w:t>
      </w:r>
      <w:r w:rsidRPr="00760527">
        <w:rPr>
          <w:rFonts w:ascii="Garamond" w:eastAsia="Times New Roman" w:hAnsi="Garamond" w:cs="Times New Roman"/>
          <w:sz w:val="24"/>
          <w:szCs w:val="24"/>
        </w:rPr>
        <w:t xml:space="preserve">reflection </w:t>
      </w:r>
      <w:r w:rsidR="00CB6F74">
        <w:rPr>
          <w:rFonts w:ascii="Garamond" w:eastAsia="Times New Roman" w:hAnsi="Garamond" w:cs="Times New Roman"/>
          <w:sz w:val="24"/>
          <w:szCs w:val="24"/>
        </w:rPr>
        <w:t xml:space="preserve">on the </w:t>
      </w:r>
      <w:r w:rsidR="00DB5930">
        <w:rPr>
          <w:rFonts w:ascii="Garamond" w:eastAsia="Times New Roman" w:hAnsi="Garamond" w:cs="Times New Roman"/>
          <w:sz w:val="24"/>
          <w:szCs w:val="24"/>
        </w:rPr>
        <w:t>course</w:t>
      </w:r>
      <w:r w:rsidRPr="00760527">
        <w:rPr>
          <w:rFonts w:ascii="Garamond" w:eastAsia="Times New Roman" w:hAnsi="Garamond" w:cs="Times New Roman"/>
          <w:sz w:val="24"/>
          <w:szCs w:val="24"/>
        </w:rPr>
        <w:t xml:space="preserve">. Due </w:t>
      </w:r>
      <w:r w:rsidR="006C575C">
        <w:rPr>
          <w:rFonts w:ascii="Garamond" w:eastAsia="Times New Roman" w:hAnsi="Garamond" w:cs="Times New Roman"/>
          <w:sz w:val="24"/>
          <w:szCs w:val="24"/>
        </w:rPr>
        <w:t>7</w:t>
      </w:r>
      <w:r w:rsidRPr="00760527">
        <w:rPr>
          <w:rFonts w:ascii="Garamond" w:eastAsia="Times New Roman" w:hAnsi="Garamond" w:cs="Times New Roman"/>
          <w:sz w:val="24"/>
          <w:szCs w:val="24"/>
        </w:rPr>
        <w:t>/2</w:t>
      </w:r>
      <w:r w:rsidR="00BB7BB6" w:rsidRPr="00760527">
        <w:rPr>
          <w:rFonts w:ascii="Garamond" w:eastAsia="Times New Roman" w:hAnsi="Garamond" w:cs="Times New Roman"/>
          <w:sz w:val="24"/>
          <w:szCs w:val="24"/>
        </w:rPr>
        <w:t>3</w:t>
      </w:r>
      <w:r w:rsidRPr="00760527">
        <w:rPr>
          <w:rFonts w:ascii="Garamond" w:eastAsia="Times New Roman" w:hAnsi="Garamond" w:cs="Times New Roman"/>
          <w:sz w:val="24"/>
          <w:szCs w:val="24"/>
        </w:rPr>
        <w:t>.</w:t>
      </w:r>
    </w:p>
    <w:p w14:paraId="5A4FF0A0" w14:textId="77777777" w:rsidR="00B02A37" w:rsidRDefault="00B02A37" w:rsidP="00EC5816">
      <w:pPr>
        <w:pStyle w:val="Body"/>
        <w:ind w:left="720"/>
        <w:jc w:val="both"/>
        <w:rPr>
          <w:rFonts w:ascii="Garamond" w:eastAsia="Times New Roman" w:hAnsi="Garamond" w:cs="Times New Roman"/>
          <w:sz w:val="24"/>
          <w:szCs w:val="24"/>
        </w:rPr>
      </w:pPr>
    </w:p>
    <w:p w14:paraId="1002D1E1" w14:textId="667DBBB2" w:rsidR="00B3455C" w:rsidRPr="00EC5816" w:rsidRDefault="00E24AB0" w:rsidP="00EC5816">
      <w:pPr>
        <w:pStyle w:val="Body"/>
        <w:ind w:left="-1260"/>
        <w:jc w:val="both"/>
        <w:rPr>
          <w:rFonts w:ascii="Garamond" w:eastAsia="Times New Roman" w:hAnsi="Garamond" w:cs="Times New Roman"/>
          <w:b/>
          <w:bCs/>
          <w:sz w:val="24"/>
          <w:szCs w:val="24"/>
        </w:rPr>
      </w:pPr>
      <w:r w:rsidRPr="00DF10C7">
        <w:rPr>
          <w:rFonts w:ascii="Garamond" w:hAnsi="Garamond"/>
          <w:b/>
          <w:bCs/>
          <w:sz w:val="28"/>
          <w:szCs w:val="28"/>
        </w:rPr>
        <w:t>Course Structure</w:t>
      </w:r>
    </w:p>
    <w:tbl>
      <w:tblPr>
        <w:tblpPr w:leftFromText="180" w:rightFromText="180" w:vertAnchor="text" w:horzAnchor="page" w:tblpX="1" w:tblpY="89"/>
        <w:tblW w:w="11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04"/>
        <w:gridCol w:w="3515"/>
        <w:gridCol w:w="6716"/>
      </w:tblGrid>
      <w:tr w:rsidR="00B02A37" w14:paraId="69503ED2" w14:textId="77777777" w:rsidTr="00B02A37">
        <w:trPr>
          <w:trHeight w:val="252"/>
          <w:tblHeader/>
        </w:trPr>
        <w:tc>
          <w:tcPr>
            <w:tcW w:w="100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hideMark/>
          </w:tcPr>
          <w:p w14:paraId="3CDF9C99" w14:textId="77777777" w:rsidR="00B02A37" w:rsidRDefault="00B02A37" w:rsidP="00B02A37">
            <w:pPr>
              <w:pStyle w:val="TableStyle1"/>
              <w:rPr>
                <w:bdr w:val="none" w:sz="0" w:space="0" w:color="auto"/>
              </w:rPr>
            </w:pPr>
            <w:r>
              <w:t>Date</w:t>
            </w:r>
          </w:p>
        </w:tc>
        <w:tc>
          <w:tcPr>
            <w:tcW w:w="351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hideMark/>
          </w:tcPr>
          <w:p w14:paraId="698766FB" w14:textId="77777777" w:rsidR="00B02A37" w:rsidRDefault="00B02A37" w:rsidP="00B02A37">
            <w:pPr>
              <w:pStyle w:val="TableStyle1"/>
            </w:pPr>
            <w:r>
              <w:t>Topic</w:t>
            </w:r>
          </w:p>
        </w:tc>
        <w:tc>
          <w:tcPr>
            <w:tcW w:w="671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hideMark/>
          </w:tcPr>
          <w:p w14:paraId="0A869D61" w14:textId="77777777" w:rsidR="00B02A37" w:rsidRDefault="00B02A37" w:rsidP="00B02A37">
            <w:pPr>
              <w:pStyle w:val="TableStyle1"/>
            </w:pPr>
            <w:r>
              <w:t xml:space="preserve">Reading (All Online) – Readings Abridged </w:t>
            </w:r>
          </w:p>
        </w:tc>
      </w:tr>
      <w:tr w:rsidR="00B02A37" w14:paraId="2480D81B" w14:textId="77777777" w:rsidTr="00B02A37">
        <w:trPr>
          <w:trHeight w:val="251"/>
        </w:trPr>
        <w:tc>
          <w:tcPr>
            <w:tcW w:w="1004"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4686DB0D" w14:textId="77777777" w:rsidR="00B02A37" w:rsidRDefault="00B02A37" w:rsidP="00B02A37">
            <w:pPr>
              <w:pStyle w:val="TableStyle1"/>
            </w:pPr>
            <w:r>
              <w:t>6/21</w:t>
            </w:r>
          </w:p>
        </w:tc>
        <w:tc>
          <w:tcPr>
            <w:tcW w:w="351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E8E569E" w14:textId="77777777" w:rsidR="00B02A37" w:rsidRDefault="00B02A37" w:rsidP="00B02A37">
            <w:pPr>
              <w:pStyle w:val="TableStyle2"/>
            </w:pPr>
            <w:r>
              <w:t>Introduction: Ethics by Authority</w:t>
            </w:r>
          </w:p>
        </w:tc>
        <w:tc>
          <w:tcPr>
            <w:tcW w:w="671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59DBD84" w14:textId="77777777" w:rsidR="00B02A37" w:rsidRDefault="00B02A37" w:rsidP="00B02A37">
            <w:pPr>
              <w:pStyle w:val="TableStyle2"/>
            </w:pPr>
            <w:r>
              <w:t>Mark Timmons – “Ethics by Authority”</w:t>
            </w:r>
          </w:p>
          <w:p w14:paraId="3F7C7427" w14:textId="77777777" w:rsidR="00B02A37" w:rsidRDefault="00B02A37" w:rsidP="00B02A37">
            <w:pPr>
              <w:pStyle w:val="TableStyle2"/>
            </w:pPr>
            <w:r>
              <w:t xml:space="preserve">Louis Pojman – “Subjective Ethical Relativism” </w:t>
            </w:r>
          </w:p>
        </w:tc>
      </w:tr>
      <w:tr w:rsidR="00B02A37" w14:paraId="6E784288" w14:textId="77777777" w:rsidTr="00B02A37">
        <w:trPr>
          <w:trHeight w:val="251"/>
        </w:trPr>
        <w:tc>
          <w:tcPr>
            <w:tcW w:w="1004"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7DEF58C6" w14:textId="77777777" w:rsidR="00B02A37" w:rsidRDefault="00B02A37" w:rsidP="00B02A37">
            <w:pPr>
              <w:pStyle w:val="TableStyle1"/>
            </w:pPr>
            <w:r>
              <w:t>6/22</w:t>
            </w:r>
          </w:p>
        </w:tc>
        <w:tc>
          <w:tcPr>
            <w:tcW w:w="351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22DA362" w14:textId="4FDFE881" w:rsidR="00B02A37" w:rsidRDefault="00B02A37" w:rsidP="00B02A37">
            <w:pPr>
              <w:pStyle w:val="TableStyle2"/>
            </w:pPr>
            <w:r>
              <w:t>Introduction</w:t>
            </w:r>
            <w:r w:rsidR="00D23370">
              <w:t xml:space="preserve">: </w:t>
            </w:r>
            <w:r>
              <w:t>Moral Reasoning</w:t>
            </w:r>
          </w:p>
        </w:tc>
        <w:tc>
          <w:tcPr>
            <w:tcW w:w="671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E1BF65" w14:textId="77777777" w:rsidR="00B02A37" w:rsidRDefault="00B02A37" w:rsidP="00B02A37">
            <w:pPr>
              <w:pStyle w:val="TableStyle2"/>
            </w:pPr>
            <w:r>
              <w:t xml:space="preserve">Barbara MacKinnon – “Ethics and Ethical Reasoning” </w:t>
            </w:r>
          </w:p>
        </w:tc>
      </w:tr>
      <w:tr w:rsidR="00B02A37" w14:paraId="1D2ADAD2" w14:textId="77777777" w:rsidTr="00B02A37">
        <w:trPr>
          <w:trHeight w:val="251"/>
        </w:trPr>
        <w:tc>
          <w:tcPr>
            <w:tcW w:w="1004"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169D4821" w14:textId="77777777" w:rsidR="00B02A37" w:rsidRDefault="00B02A37" w:rsidP="00B02A37">
            <w:pPr>
              <w:pStyle w:val="TableStyle1"/>
            </w:pPr>
            <w:r>
              <w:t>6/23</w:t>
            </w:r>
          </w:p>
        </w:tc>
        <w:tc>
          <w:tcPr>
            <w:tcW w:w="351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AE4E30C" w14:textId="5BE7811E" w:rsidR="00B02A37" w:rsidRDefault="00B02A37" w:rsidP="00B02A37">
            <w:pPr>
              <w:pStyle w:val="TableStyle2"/>
            </w:pPr>
            <w:r>
              <w:t xml:space="preserve">Effective Altruism </w:t>
            </w:r>
          </w:p>
        </w:tc>
        <w:tc>
          <w:tcPr>
            <w:tcW w:w="6716"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9E6FAA8" w14:textId="77777777" w:rsidR="00B02A37" w:rsidRDefault="00B02A37" w:rsidP="00B02A37">
            <w:pPr>
              <w:pStyle w:val="TableStyle2"/>
            </w:pPr>
            <w:r>
              <w:t>Peter Singer – “Famine, Affluence, and Morality”</w:t>
            </w:r>
          </w:p>
        </w:tc>
      </w:tr>
      <w:tr w:rsidR="00B02A37" w14:paraId="4D46F55A" w14:textId="77777777" w:rsidTr="00B02A37">
        <w:trPr>
          <w:trHeight w:val="416"/>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10197153" w14:textId="77777777" w:rsidR="00B02A37" w:rsidRDefault="00B02A37" w:rsidP="00B02A37">
            <w:pPr>
              <w:pStyle w:val="TableStyle1"/>
            </w:pPr>
            <w:r>
              <w:t>6/24</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B1D381F" w14:textId="77777777" w:rsidR="00B02A37" w:rsidRDefault="00B02A37" w:rsidP="00B02A37">
            <w:pPr>
              <w:pStyle w:val="TableStyle2"/>
            </w:pPr>
            <w:r>
              <w:t>Effective Altruism</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AFED53A" w14:textId="77777777" w:rsidR="00B02A37" w:rsidRDefault="00B02A37" w:rsidP="00B02A37">
            <w:pPr>
              <w:pStyle w:val="TableStyle2"/>
            </w:pPr>
            <w:r>
              <w:t xml:space="preserve">Amia Srinivasan – “Stop the Robot Apocalypse” </w:t>
            </w:r>
          </w:p>
        </w:tc>
      </w:tr>
      <w:tr w:rsidR="007C07EA" w14:paraId="08F04915" w14:textId="77777777" w:rsidTr="00B02A37">
        <w:trPr>
          <w:trHeight w:val="416"/>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CE86D63" w14:textId="0E1062CB" w:rsidR="007C07EA" w:rsidRDefault="007C07EA" w:rsidP="00B02A37">
            <w:pPr>
              <w:pStyle w:val="TableStyle1"/>
            </w:pPr>
            <w:r>
              <w:t>6/25</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BB95791" w14:textId="523656BB" w:rsidR="007C07EA" w:rsidRDefault="007C07EA" w:rsidP="00B02A37">
            <w:pPr>
              <w:pStyle w:val="TableStyle2"/>
            </w:pPr>
            <w:r>
              <w:t>No Class</w:t>
            </w:r>
            <w:r w:rsidR="000F26DA">
              <w:t xml:space="preserve">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11F07" w14:textId="53C1B735" w:rsidR="007C07EA" w:rsidRDefault="00D9139B" w:rsidP="00B02A37">
            <w:pPr>
              <w:pStyle w:val="TableStyle2"/>
            </w:pPr>
            <w:r>
              <w:t>No Reading</w:t>
            </w:r>
          </w:p>
        </w:tc>
      </w:tr>
      <w:tr w:rsidR="00B02A37" w14:paraId="503BF79E" w14:textId="77777777" w:rsidTr="00B02A37">
        <w:trPr>
          <w:trHeight w:val="416"/>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363F4B19" w14:textId="29B220F4" w:rsidR="00B02A37" w:rsidRDefault="00B02A37" w:rsidP="00B02A37">
            <w:pPr>
              <w:pStyle w:val="TableStyle1"/>
            </w:pPr>
            <w:r>
              <w:t>6/2</w:t>
            </w:r>
            <w:r w:rsidR="007C07EA">
              <w:t>8</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530C9E9" w14:textId="77777777" w:rsidR="00B02A37" w:rsidRDefault="00B02A37" w:rsidP="00B02A37">
            <w:pPr>
              <w:pStyle w:val="TableStyle2"/>
            </w:pPr>
            <w:r>
              <w:t>Abortion</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BBEC297" w14:textId="77777777" w:rsidR="00B02A37" w:rsidRDefault="00B02A37" w:rsidP="00B02A37">
            <w:pPr>
              <w:pStyle w:val="TableStyle2"/>
            </w:pPr>
            <w:r>
              <w:t>Don Marquis – “Why Abortion Is Immoral”</w:t>
            </w:r>
          </w:p>
        </w:tc>
      </w:tr>
      <w:tr w:rsidR="00B02A37" w14:paraId="627B817B" w14:textId="77777777" w:rsidTr="00B02A37">
        <w:trPr>
          <w:trHeight w:val="416"/>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27973D4B" w14:textId="6C8F8D4A" w:rsidR="00B02A37" w:rsidRDefault="00B02A37" w:rsidP="00B02A37">
            <w:pPr>
              <w:pStyle w:val="TableStyle1"/>
            </w:pPr>
            <w:r>
              <w:t>6/2</w:t>
            </w:r>
            <w:r w:rsidR="007C07EA">
              <w:t>9</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017385D" w14:textId="77777777" w:rsidR="00B02A37" w:rsidRDefault="00B02A37" w:rsidP="00B02A37">
            <w:pPr>
              <w:pStyle w:val="TableStyle2"/>
            </w:pPr>
            <w:r>
              <w:t>Abortion</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5DA4AFC" w14:textId="77777777" w:rsidR="00B02A37" w:rsidRDefault="00B02A37" w:rsidP="00B02A37">
            <w:pPr>
              <w:pStyle w:val="TableStyle2"/>
            </w:pPr>
            <w:r>
              <w:t>Judith Jarvis Thompson – “A Defense of Abortion”</w:t>
            </w:r>
          </w:p>
        </w:tc>
      </w:tr>
      <w:tr w:rsidR="00B02A37" w14:paraId="56DFB1DA"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37234704" w14:textId="64F4A1D3" w:rsidR="00B02A37" w:rsidRDefault="00B02A37" w:rsidP="00B02A37">
            <w:pPr>
              <w:pStyle w:val="TableStyle1"/>
            </w:pPr>
            <w:r>
              <w:t>6/</w:t>
            </w:r>
            <w:r w:rsidR="007C07EA">
              <w:t>30</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F683D8B" w14:textId="77777777" w:rsidR="00B02A37" w:rsidRDefault="00B02A37" w:rsidP="00B02A37">
            <w:pPr>
              <w:pStyle w:val="TableStyle2"/>
            </w:pPr>
            <w:r>
              <w:t>Ethics of Meat-Eating</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D0DD636" w14:textId="77777777" w:rsidR="00B02A37" w:rsidRDefault="00B02A37" w:rsidP="00B02A37">
            <w:pPr>
              <w:pStyle w:val="TableStyle2"/>
            </w:pPr>
            <w:r>
              <w:t xml:space="preserve">Alistair Norcross – “Puppies, Pigs, &amp; People” </w:t>
            </w:r>
          </w:p>
        </w:tc>
      </w:tr>
      <w:tr w:rsidR="00B02A37" w14:paraId="01C58C08"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5EB6E909" w14:textId="120CEF3F" w:rsidR="00B02A37" w:rsidRDefault="007C07EA" w:rsidP="00B02A37">
            <w:pPr>
              <w:pStyle w:val="TableStyle1"/>
            </w:pPr>
            <w:r>
              <w:t>7/1</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A16ED3D" w14:textId="77777777" w:rsidR="00B02A37" w:rsidRDefault="00B02A37" w:rsidP="00B02A37">
            <w:pPr>
              <w:pStyle w:val="TableStyle2"/>
            </w:pPr>
            <w:r>
              <w:t>Ethics of Meat-Eating</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C981760" w14:textId="364A1BD7" w:rsidR="00B02A37" w:rsidRDefault="003D0F73" w:rsidP="00B02A37">
            <w:pPr>
              <w:pStyle w:val="TableStyle2"/>
            </w:pPr>
            <w:r>
              <w:t xml:space="preserve">Donald </w:t>
            </w:r>
            <w:r w:rsidR="00C81BCC">
              <w:t>B</w:t>
            </w:r>
            <w:r>
              <w:t>r</w:t>
            </w:r>
            <w:r w:rsidR="00C81BCC">
              <w:t>uckner</w:t>
            </w:r>
            <w:r w:rsidR="00B02A37">
              <w:t xml:space="preserve"> – “</w:t>
            </w:r>
            <w:r w:rsidR="00C81BCC">
              <w:t>The Vegan’s Dilemma</w:t>
            </w:r>
            <w:r w:rsidR="00B02A37">
              <w:t xml:space="preserve">” </w:t>
            </w:r>
          </w:p>
        </w:tc>
      </w:tr>
      <w:tr w:rsidR="00C558D6" w14:paraId="0942D0D3"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462887" w14:textId="5BE2D825" w:rsidR="00C558D6" w:rsidRDefault="003D274B" w:rsidP="00B02A37">
            <w:pPr>
              <w:pStyle w:val="TableStyle1"/>
            </w:pPr>
            <w:r>
              <w:t>7/2</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88D9F48" w14:textId="7628136D" w:rsidR="00C558D6" w:rsidRDefault="003D274B" w:rsidP="00B02A37">
            <w:pPr>
              <w:pStyle w:val="TableStyle2"/>
            </w:pPr>
            <w:r>
              <w:t>No Class</w:t>
            </w:r>
            <w:r w:rsidR="000F26DA">
              <w:t xml:space="preserve">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457A3" w14:textId="52505D8D" w:rsidR="005C4BBF" w:rsidRDefault="00D9139B" w:rsidP="00B02A37">
            <w:pPr>
              <w:pStyle w:val="TableStyle2"/>
            </w:pPr>
            <w:r>
              <w:t>No Reading</w:t>
            </w:r>
            <w:r w:rsidR="005C4BBF">
              <w:t xml:space="preserve"> </w:t>
            </w:r>
          </w:p>
        </w:tc>
      </w:tr>
      <w:tr w:rsidR="00963072" w14:paraId="41F4F5ED"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BFA7FE3" w14:textId="4617F268" w:rsidR="00963072" w:rsidRDefault="00963072" w:rsidP="00B02A37">
            <w:pPr>
              <w:pStyle w:val="TableStyle1"/>
            </w:pPr>
            <w:r>
              <w:t>7/5</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408FE03" w14:textId="3A047670" w:rsidR="00963072" w:rsidRDefault="00436223" w:rsidP="00B02A37">
            <w:pPr>
              <w:pStyle w:val="TableStyle2"/>
            </w:pPr>
            <w:r>
              <w:t>University Holiday</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564B3" w14:textId="63636186" w:rsidR="00436223" w:rsidRDefault="00D9139B" w:rsidP="00B02A37">
            <w:pPr>
              <w:pStyle w:val="TableStyle2"/>
            </w:pPr>
            <w:r>
              <w:t>No Reading</w:t>
            </w:r>
          </w:p>
        </w:tc>
      </w:tr>
      <w:tr w:rsidR="00B02A37" w14:paraId="067F06D6"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1299AD55" w14:textId="35D23B28" w:rsidR="00B02A37" w:rsidRDefault="00B02A37" w:rsidP="00B02A37">
            <w:pPr>
              <w:pStyle w:val="TableStyle1"/>
            </w:pPr>
            <w:r>
              <w:t>7/</w:t>
            </w:r>
            <w:r w:rsidR="00E26DC3">
              <w:t>6</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C9B3F9E" w14:textId="1C40C890" w:rsidR="00B02A37" w:rsidRDefault="00476796" w:rsidP="00B02A37">
            <w:pPr>
              <w:pStyle w:val="TableStyle2"/>
            </w:pPr>
            <w:r>
              <w:t>Responsibility for Justice</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AE4618B" w14:textId="68C64E5F" w:rsidR="00B02A37" w:rsidRDefault="00B02A37" w:rsidP="00B02A37">
            <w:pPr>
              <w:pStyle w:val="TableStyle2"/>
            </w:pPr>
            <w:r>
              <w:t>Iris Young – “</w:t>
            </w:r>
            <w:r w:rsidR="00476796">
              <w:t>A Social Connection Model”</w:t>
            </w:r>
            <w:r w:rsidR="00CA25F8">
              <w:t xml:space="preserve"> </w:t>
            </w:r>
            <w:r w:rsidR="0082515C">
              <w:t>(</w:t>
            </w:r>
            <w:r w:rsidR="00CA25F8">
              <w:t>Midterm Due)</w:t>
            </w:r>
          </w:p>
        </w:tc>
      </w:tr>
      <w:tr w:rsidR="00476796" w14:paraId="24F6CA68"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52360473" w14:textId="73189453" w:rsidR="00476796" w:rsidRDefault="00476796" w:rsidP="00476796">
            <w:pPr>
              <w:pStyle w:val="TableStyle1"/>
            </w:pPr>
            <w:r>
              <w:t>7/</w:t>
            </w:r>
            <w:r w:rsidR="00E26DC3">
              <w:t>7</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D559F44" w14:textId="150D84C5" w:rsidR="00476796" w:rsidRPr="00766C94" w:rsidRDefault="00E26DC3" w:rsidP="00476796">
            <w:pPr>
              <w:pStyle w:val="TableStyle2"/>
            </w:pPr>
            <w:r>
              <w:t>Responsibility for Justice</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7FDCC1" w14:textId="77777777" w:rsidR="00476796" w:rsidRDefault="00476796" w:rsidP="00476796">
            <w:pPr>
              <w:pStyle w:val="TableStyle2"/>
            </w:pPr>
            <w:r>
              <w:t>Malcolm X – “After the Firebombing”</w:t>
            </w:r>
          </w:p>
          <w:p w14:paraId="58CBFEB2" w14:textId="0744A24C" w:rsidR="00476796" w:rsidRDefault="00476796" w:rsidP="00476796">
            <w:pPr>
              <w:pStyle w:val="TableStyle2"/>
            </w:pPr>
            <w:r>
              <w:t xml:space="preserve">Martin Luther King Jr.  – </w:t>
            </w:r>
            <w:r>
              <w:rPr>
                <w:i/>
                <w:iCs/>
              </w:rPr>
              <w:t>Playboy</w:t>
            </w:r>
            <w:r>
              <w:t xml:space="preserve"> Interview</w:t>
            </w:r>
          </w:p>
        </w:tc>
      </w:tr>
      <w:tr w:rsidR="00B02A37" w14:paraId="193B9FBB"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2B07BFDB" w14:textId="51A54FE6" w:rsidR="00B02A37" w:rsidRDefault="00B02A37" w:rsidP="00B02A37">
            <w:pPr>
              <w:pStyle w:val="TableStyle1"/>
            </w:pPr>
            <w:r>
              <w:t>7/</w:t>
            </w:r>
            <w:r w:rsidR="00317FAB">
              <w:t>8</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357F692" w14:textId="77777777" w:rsidR="00B02A37" w:rsidRDefault="00B02A37" w:rsidP="00B02A37">
            <w:pPr>
              <w:pStyle w:val="TableStyle2"/>
            </w:pPr>
            <w:r>
              <w:t>Immigration</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09B19DA" w14:textId="77777777" w:rsidR="00B02A37" w:rsidRDefault="00B02A37" w:rsidP="00B02A37">
            <w:pPr>
              <w:pStyle w:val="TableStyle2"/>
            </w:pPr>
            <w:r>
              <w:t xml:space="preserve">Joseph </w:t>
            </w:r>
            <w:proofErr w:type="spellStart"/>
            <w:r>
              <w:t>Carens</w:t>
            </w:r>
            <w:proofErr w:type="spellEnd"/>
            <w:r>
              <w:t xml:space="preserve"> – “Aliens and Citizens: The Case for Open Borders”</w:t>
            </w:r>
          </w:p>
        </w:tc>
      </w:tr>
      <w:tr w:rsidR="00B02A37" w14:paraId="4A569F17"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1F6B931D" w14:textId="1B36686C" w:rsidR="00B02A37" w:rsidRDefault="00B02A37" w:rsidP="00B02A37">
            <w:pPr>
              <w:pStyle w:val="TableStyle1"/>
            </w:pPr>
            <w:r>
              <w:t>7/</w:t>
            </w:r>
            <w:r w:rsidR="00317FAB">
              <w:t>9</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CF792A1" w14:textId="77777777" w:rsidR="00B02A37" w:rsidRDefault="00B02A37" w:rsidP="00B02A37">
            <w:pPr>
              <w:pStyle w:val="TableStyle2"/>
            </w:pPr>
            <w:r>
              <w:t>Immigration</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0C11530" w14:textId="77777777" w:rsidR="00B02A37" w:rsidRDefault="00B02A37" w:rsidP="00B02A37">
            <w:pPr>
              <w:pStyle w:val="TableStyle2"/>
            </w:pPr>
            <w:r>
              <w:t xml:space="preserve">Cody </w:t>
            </w:r>
            <w:proofErr w:type="spellStart"/>
            <w:r>
              <w:t>Dout</w:t>
            </w:r>
            <w:proofErr w:type="spellEnd"/>
            <w:r>
              <w:t xml:space="preserve"> – “At the Borders of Whiteness” </w:t>
            </w:r>
          </w:p>
        </w:tc>
      </w:tr>
      <w:tr w:rsidR="00B02A37" w14:paraId="334C1808"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542EC046" w14:textId="63C1052A" w:rsidR="00B02A37" w:rsidRDefault="00B02A37" w:rsidP="00B02A37">
            <w:pPr>
              <w:pStyle w:val="TableStyle1"/>
            </w:pPr>
            <w:r>
              <w:t>7/1</w:t>
            </w:r>
            <w:r w:rsidR="00FC481B">
              <w:t>2</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930D01" w14:textId="592248B4" w:rsidR="00B02A37" w:rsidRDefault="009C1AD9" w:rsidP="00B02A37">
            <w:pPr>
              <w:pStyle w:val="TableStyle2"/>
              <w:rPr>
                <w:b/>
                <w:bCs/>
              </w:rPr>
            </w:pPr>
            <w:r>
              <w:t>Nature of the Climate Change Problem</w:t>
            </w:r>
            <w:r w:rsidR="00B02A37">
              <w:t xml:space="preserve">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BD488AD" w14:textId="7EACE72F" w:rsidR="00CA0910" w:rsidRPr="00CA0910" w:rsidRDefault="00CA0910" w:rsidP="00B02A37">
            <w:pPr>
              <w:pStyle w:val="TableStyle2"/>
            </w:pPr>
            <w:r>
              <w:t xml:space="preserve">New York Times – “The Pandemic Has Split </w:t>
            </w:r>
            <w:proofErr w:type="gramStart"/>
            <w:r>
              <w:t>In</w:t>
            </w:r>
            <w:proofErr w:type="gramEnd"/>
            <w:r>
              <w:t xml:space="preserve"> Two”</w:t>
            </w:r>
          </w:p>
          <w:p w14:paraId="4466B575" w14:textId="42CA0937" w:rsidR="00CA0910" w:rsidRDefault="00B02A37" w:rsidP="00B02A37">
            <w:pPr>
              <w:pStyle w:val="TableStyle2"/>
            </w:pPr>
            <w:r>
              <w:rPr>
                <w:i/>
                <w:iCs/>
              </w:rPr>
              <w:t xml:space="preserve">Dialogues on Climate Justice </w:t>
            </w:r>
            <w:r>
              <w:t>– Chapter 1</w:t>
            </w:r>
          </w:p>
        </w:tc>
      </w:tr>
      <w:tr w:rsidR="00B02A37" w14:paraId="11D688D4"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0942AC2C" w14:textId="5933928F" w:rsidR="00B02A37" w:rsidRDefault="00B02A37" w:rsidP="00B02A37">
            <w:pPr>
              <w:pStyle w:val="TableStyle1"/>
            </w:pPr>
            <w:r>
              <w:t>7/1</w:t>
            </w:r>
            <w:r w:rsidR="00FC481B">
              <w:t>3</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DD3CF7A" w14:textId="4DA18CA3" w:rsidR="00B02A37" w:rsidRDefault="003C4970" w:rsidP="00B02A37">
            <w:pPr>
              <w:pStyle w:val="TableStyle2"/>
            </w:pPr>
            <w:r>
              <w:t xml:space="preserve">Individual </w:t>
            </w:r>
            <w:r w:rsidR="00EC7325">
              <w:t xml:space="preserve">Climate </w:t>
            </w:r>
            <w:r>
              <w:t xml:space="preserve">Responsibility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1CB5DB4" w14:textId="1EB2E8CA" w:rsidR="00B02A37" w:rsidRDefault="00B02A37" w:rsidP="00B02A37">
            <w:pPr>
              <w:pStyle w:val="TableStyle2"/>
            </w:pPr>
            <w:r>
              <w:rPr>
                <w:i/>
                <w:iCs/>
              </w:rPr>
              <w:t xml:space="preserve">Dialogues on Climate Justice </w:t>
            </w:r>
            <w:r>
              <w:t xml:space="preserve">– Chapter </w:t>
            </w:r>
            <w:r w:rsidR="003624BE">
              <w:t>3</w:t>
            </w:r>
          </w:p>
        </w:tc>
      </w:tr>
      <w:tr w:rsidR="00FC481B" w14:paraId="291C70E0"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E0B3F25" w14:textId="1AB7DE4B" w:rsidR="00FC481B" w:rsidRDefault="00FC481B" w:rsidP="00B02A37">
            <w:pPr>
              <w:pStyle w:val="TableStyle1"/>
            </w:pPr>
            <w:r>
              <w:t>7/14</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08250F8" w14:textId="6A77E87E" w:rsidR="00FC481B" w:rsidRDefault="00FC481B" w:rsidP="00B02A37">
            <w:pPr>
              <w:pStyle w:val="TableStyle2"/>
            </w:pPr>
            <w:r>
              <w:t xml:space="preserve">International </w:t>
            </w:r>
            <w:r w:rsidR="00EC7325">
              <w:t xml:space="preserve">Climate </w:t>
            </w:r>
            <w:r>
              <w:t>Justice</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934D3" w14:textId="02329989" w:rsidR="00AA1140" w:rsidRPr="00AA1140" w:rsidRDefault="00AA1140" w:rsidP="00B02A37">
            <w:pPr>
              <w:pStyle w:val="TableStyle2"/>
            </w:pPr>
            <w:r>
              <w:rPr>
                <w:i/>
                <w:iCs/>
              </w:rPr>
              <w:t xml:space="preserve">Dialogues on Climate Justice </w:t>
            </w:r>
            <w:r>
              <w:t>– Chapter 4</w:t>
            </w:r>
          </w:p>
        </w:tc>
      </w:tr>
      <w:tr w:rsidR="00B02A37" w14:paraId="0191731E"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6E4BD699" w14:textId="0A8E746F" w:rsidR="00B02A37" w:rsidRDefault="00B02A37" w:rsidP="00B02A37">
            <w:pPr>
              <w:pStyle w:val="TableStyle1"/>
            </w:pPr>
            <w:r>
              <w:t>7/1</w:t>
            </w:r>
            <w:r w:rsidR="00AA1140">
              <w:t>5</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E74A484" w14:textId="1151FAC6" w:rsidR="00B02A37" w:rsidRDefault="004504DF" w:rsidP="00B02A37">
            <w:pPr>
              <w:pStyle w:val="TableStyle2"/>
            </w:pPr>
            <w:r>
              <w:t>In-Class Outline Workshop</w:t>
            </w:r>
            <w:r w:rsidR="00D72176">
              <w:t xml:space="preserve"> </w:t>
            </w:r>
            <w:r w:rsidR="002023C5">
              <w:t xml:space="preserve">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BD83C64" w14:textId="2F406460" w:rsidR="00B02A37" w:rsidRDefault="004504DF" w:rsidP="00B02A37">
            <w:pPr>
              <w:pStyle w:val="TableStyle2"/>
            </w:pPr>
            <w:r>
              <w:t>No Reading</w:t>
            </w:r>
          </w:p>
        </w:tc>
      </w:tr>
      <w:tr w:rsidR="0070449F" w14:paraId="3183B495"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8CEB667" w14:textId="264D0CB5" w:rsidR="0070449F" w:rsidRDefault="0070449F" w:rsidP="00B02A37">
            <w:pPr>
              <w:pStyle w:val="TableStyle1"/>
            </w:pPr>
            <w:r>
              <w:lastRenderedPageBreak/>
              <w:t>7/16</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D3841A4" w14:textId="31C8E83E" w:rsidR="0070449F" w:rsidRDefault="00411D7D" w:rsidP="00B02A37">
            <w:pPr>
              <w:pStyle w:val="TableStyle2"/>
            </w:pPr>
            <w:r>
              <w:t>No Class</w:t>
            </w:r>
            <w:r w:rsidR="00A20E5C">
              <w:t xml:space="preserve">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B2193" w14:textId="652A76A9" w:rsidR="0070449F" w:rsidRPr="00A20E5C" w:rsidRDefault="00A20E5C" w:rsidP="00B02A37">
            <w:pPr>
              <w:pStyle w:val="TableStyle2"/>
            </w:pPr>
            <w:r>
              <w:t>No Reading</w:t>
            </w:r>
          </w:p>
        </w:tc>
      </w:tr>
      <w:tr w:rsidR="00B02A37" w14:paraId="2280794A"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43F9EE82" w14:textId="73AAA598" w:rsidR="00B02A37" w:rsidRDefault="00B02A37" w:rsidP="00B02A37">
            <w:pPr>
              <w:pStyle w:val="TableStyle1"/>
            </w:pPr>
            <w:r>
              <w:t>7/1</w:t>
            </w:r>
            <w:r w:rsidR="00860FAB">
              <w:t>9</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63FDC4C" w14:textId="1415F04F" w:rsidR="00B02A37" w:rsidRDefault="004504DF" w:rsidP="00B02A37">
            <w:pPr>
              <w:pStyle w:val="TableStyle2"/>
              <w:rPr>
                <w:b/>
                <w:bCs/>
              </w:rPr>
            </w:pPr>
            <w:r>
              <w:t xml:space="preserve">Office Hours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AF34A91" w14:textId="47D66A24" w:rsidR="00C51170" w:rsidRDefault="008A338F" w:rsidP="00B02A37">
            <w:pPr>
              <w:pStyle w:val="TableStyle2"/>
            </w:pPr>
            <w:r>
              <w:t>No Reading</w:t>
            </w:r>
          </w:p>
        </w:tc>
      </w:tr>
      <w:tr w:rsidR="00B02A37" w14:paraId="62A34D1D"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35B9D2D7" w14:textId="689A0794" w:rsidR="00B02A37" w:rsidRDefault="00B02A37" w:rsidP="00B02A37">
            <w:pPr>
              <w:pStyle w:val="TableStyle1"/>
            </w:pPr>
            <w:r>
              <w:t>7/</w:t>
            </w:r>
            <w:r w:rsidR="00860FAB">
              <w:t>20</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4DA5C78" w14:textId="0F824822" w:rsidR="00B02A37" w:rsidRDefault="00411D7D" w:rsidP="00B02A37">
            <w:pPr>
              <w:pStyle w:val="TableStyle2"/>
            </w:pPr>
            <w:r>
              <w:t xml:space="preserve">Office Hours </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381A43AE" w14:textId="7BA70842" w:rsidR="00143FC0" w:rsidRPr="00143FC0" w:rsidRDefault="008A338F" w:rsidP="00B02A37">
            <w:pPr>
              <w:pStyle w:val="TableStyle2"/>
            </w:pPr>
            <w:r>
              <w:t>No Reading</w:t>
            </w:r>
          </w:p>
        </w:tc>
      </w:tr>
      <w:tr w:rsidR="00B02A37" w:rsidRPr="0036481D" w14:paraId="3B535C7D" w14:textId="77777777" w:rsidTr="00B02A37">
        <w:trPr>
          <w:trHeight w:val="248"/>
        </w:trPr>
        <w:tc>
          <w:tcPr>
            <w:tcW w:w="1004"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hideMark/>
          </w:tcPr>
          <w:p w14:paraId="5ED72F87" w14:textId="77777777" w:rsidR="00B02A37" w:rsidRDefault="00B02A37" w:rsidP="00B02A37">
            <w:pPr>
              <w:pStyle w:val="TableStyle1"/>
            </w:pPr>
            <w:r>
              <w:t>7/21</w:t>
            </w:r>
          </w:p>
        </w:tc>
        <w:tc>
          <w:tcPr>
            <w:tcW w:w="351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0473D04" w14:textId="689D6E1A" w:rsidR="00B02A37" w:rsidRDefault="008A338F" w:rsidP="00B02A37">
            <w:pPr>
              <w:pStyle w:val="TableStyle2"/>
            </w:pPr>
            <w:r>
              <w:t>No Class</w:t>
            </w:r>
          </w:p>
        </w:tc>
        <w:tc>
          <w:tcPr>
            <w:tcW w:w="6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7FC764E" w14:textId="0C75EBED" w:rsidR="00B02A37" w:rsidRPr="0036481D" w:rsidRDefault="00C67F3C" w:rsidP="00B02A37">
            <w:pPr>
              <w:pStyle w:val="TableStyle2"/>
            </w:pPr>
            <w:r>
              <w:t xml:space="preserve">No Reading – Final </w:t>
            </w:r>
            <w:r w:rsidR="008A338F">
              <w:t>Paper Due</w:t>
            </w:r>
          </w:p>
        </w:tc>
      </w:tr>
    </w:tbl>
    <w:p w14:paraId="14053FDA" w14:textId="00967B80" w:rsidR="00B3455C" w:rsidRDefault="00B3455C" w:rsidP="00E24AB0">
      <w:pPr>
        <w:pStyle w:val="Body"/>
        <w:jc w:val="both"/>
        <w:rPr>
          <w:rFonts w:ascii="Garamond" w:hAnsi="Garamond"/>
          <w:sz w:val="24"/>
          <w:szCs w:val="24"/>
        </w:rPr>
      </w:pPr>
    </w:p>
    <w:p w14:paraId="280C9D31" w14:textId="77777777" w:rsidR="00B02A37" w:rsidRDefault="00B02A37" w:rsidP="00E24AB0">
      <w:pPr>
        <w:pStyle w:val="Body"/>
        <w:jc w:val="both"/>
        <w:rPr>
          <w:rFonts w:ascii="Garamond" w:hAnsi="Garamond"/>
          <w:sz w:val="24"/>
          <w:szCs w:val="24"/>
        </w:rPr>
      </w:pPr>
    </w:p>
    <w:p w14:paraId="72A2794F" w14:textId="09CD13F7" w:rsidR="005F6AF2" w:rsidRDefault="00E24AB0" w:rsidP="00E24AB0">
      <w:pPr>
        <w:pStyle w:val="Body"/>
        <w:jc w:val="both"/>
        <w:rPr>
          <w:rFonts w:ascii="Garamond" w:hAnsi="Garamond"/>
          <w:sz w:val="24"/>
          <w:szCs w:val="24"/>
        </w:rPr>
      </w:pPr>
      <w:r>
        <w:rPr>
          <w:rFonts w:ascii="Garamond" w:hAnsi="Garamond"/>
          <w:sz w:val="24"/>
          <w:szCs w:val="24"/>
        </w:rPr>
        <w:t>Due to the COVID outbreak, the entirety of this course will be held</w:t>
      </w:r>
      <w:r w:rsidR="00DC3189">
        <w:rPr>
          <w:rFonts w:ascii="Garamond" w:hAnsi="Garamond"/>
          <w:sz w:val="24"/>
          <w:szCs w:val="24"/>
        </w:rPr>
        <w:t xml:space="preserve"> </w:t>
      </w:r>
      <w:r>
        <w:rPr>
          <w:rFonts w:ascii="Garamond" w:hAnsi="Garamond"/>
          <w:sz w:val="24"/>
          <w:szCs w:val="24"/>
        </w:rPr>
        <w:t>online through a combination of synchronous (</w:t>
      </w:r>
      <w:proofErr w:type="spellStart"/>
      <w:proofErr w:type="gramStart"/>
      <w:r>
        <w:rPr>
          <w:rFonts w:ascii="Garamond" w:hAnsi="Garamond"/>
          <w:sz w:val="24"/>
          <w:szCs w:val="24"/>
        </w:rPr>
        <w:t>ie</w:t>
      </w:r>
      <w:proofErr w:type="spellEnd"/>
      <w:proofErr w:type="gramEnd"/>
      <w:r>
        <w:rPr>
          <w:rFonts w:ascii="Garamond" w:hAnsi="Garamond"/>
          <w:sz w:val="24"/>
          <w:szCs w:val="24"/>
        </w:rPr>
        <w:t xml:space="preserve"> </w:t>
      </w:r>
      <w:r w:rsidR="00DC3189">
        <w:rPr>
          <w:rFonts w:ascii="Garamond" w:hAnsi="Garamond"/>
          <w:sz w:val="24"/>
          <w:szCs w:val="24"/>
        </w:rPr>
        <w:t xml:space="preserve">by </w:t>
      </w:r>
      <w:r>
        <w:rPr>
          <w:rFonts w:ascii="Garamond" w:hAnsi="Garamond"/>
          <w:sz w:val="24"/>
          <w:szCs w:val="24"/>
        </w:rPr>
        <w:t xml:space="preserve">Zoom call) </w:t>
      </w:r>
      <w:r w:rsidR="00C40368">
        <w:rPr>
          <w:rFonts w:ascii="Garamond" w:hAnsi="Garamond"/>
          <w:sz w:val="24"/>
          <w:szCs w:val="24"/>
        </w:rPr>
        <w:t xml:space="preserve">or, if </w:t>
      </w:r>
      <w:r w:rsidR="005C1EA4">
        <w:rPr>
          <w:rFonts w:ascii="Garamond" w:hAnsi="Garamond"/>
          <w:sz w:val="24"/>
          <w:szCs w:val="24"/>
        </w:rPr>
        <w:t>need be</w:t>
      </w:r>
      <w:r w:rsidR="00C40368">
        <w:rPr>
          <w:rFonts w:ascii="Garamond" w:hAnsi="Garamond"/>
          <w:sz w:val="24"/>
          <w:szCs w:val="24"/>
        </w:rPr>
        <w:t>,</w:t>
      </w:r>
      <w:r>
        <w:rPr>
          <w:rFonts w:ascii="Garamond" w:hAnsi="Garamond"/>
          <w:sz w:val="24"/>
          <w:szCs w:val="24"/>
        </w:rPr>
        <w:t xml:space="preserve"> asynchronous (</w:t>
      </w:r>
      <w:proofErr w:type="spellStart"/>
      <w:r w:rsidR="00DC3189">
        <w:rPr>
          <w:rFonts w:ascii="Garamond" w:hAnsi="Garamond"/>
          <w:sz w:val="24"/>
          <w:szCs w:val="24"/>
        </w:rPr>
        <w:t>ie</w:t>
      </w:r>
      <w:proofErr w:type="spellEnd"/>
      <w:r w:rsidR="00DC3189">
        <w:rPr>
          <w:rFonts w:ascii="Garamond" w:hAnsi="Garamond"/>
          <w:sz w:val="24"/>
          <w:szCs w:val="24"/>
        </w:rPr>
        <w:t xml:space="preserve"> by</w:t>
      </w:r>
      <w:r w:rsidR="007E22EB">
        <w:rPr>
          <w:rFonts w:ascii="Garamond" w:hAnsi="Garamond"/>
          <w:sz w:val="24"/>
          <w:szCs w:val="24"/>
        </w:rPr>
        <w:t xml:space="preserve"> recorded lecture </w:t>
      </w:r>
      <w:r w:rsidR="00AB5BD0">
        <w:rPr>
          <w:rFonts w:ascii="Garamond" w:hAnsi="Garamond"/>
          <w:sz w:val="24"/>
          <w:szCs w:val="24"/>
        </w:rPr>
        <w:t>and make-up worksheet</w:t>
      </w:r>
      <w:r>
        <w:rPr>
          <w:rFonts w:ascii="Garamond" w:hAnsi="Garamond"/>
          <w:sz w:val="24"/>
          <w:szCs w:val="24"/>
        </w:rPr>
        <w:t xml:space="preserve">) instruction methods. </w:t>
      </w:r>
      <w:r w:rsidR="003208B2">
        <w:rPr>
          <w:rFonts w:ascii="Garamond" w:hAnsi="Garamond"/>
          <w:sz w:val="24"/>
          <w:szCs w:val="24"/>
        </w:rPr>
        <w:t>We will meet between 9:40am and 11:50am PT</w:t>
      </w:r>
      <w:r w:rsidR="008F36B3">
        <w:rPr>
          <w:rFonts w:ascii="Garamond" w:hAnsi="Garamond"/>
          <w:sz w:val="24"/>
          <w:szCs w:val="24"/>
        </w:rPr>
        <w:t>, 4 days a week</w:t>
      </w:r>
      <w:r w:rsidR="003208B2">
        <w:rPr>
          <w:rFonts w:ascii="Garamond" w:hAnsi="Garamond"/>
          <w:sz w:val="24"/>
          <w:szCs w:val="24"/>
        </w:rPr>
        <w:t>.</w:t>
      </w:r>
      <w:r w:rsidR="00385BFB">
        <w:rPr>
          <w:rFonts w:ascii="Garamond" w:hAnsi="Garamond"/>
          <w:sz w:val="24"/>
          <w:szCs w:val="24"/>
        </w:rPr>
        <w:t xml:space="preserve"> The first hour of class (until 10:40am) will </w:t>
      </w:r>
      <w:r w:rsidR="008150FF">
        <w:rPr>
          <w:rFonts w:ascii="Garamond" w:hAnsi="Garamond"/>
          <w:sz w:val="24"/>
          <w:szCs w:val="24"/>
        </w:rPr>
        <w:t xml:space="preserve">for lecture. At this point, we will have a </w:t>
      </w:r>
      <w:r w:rsidR="00613E02">
        <w:rPr>
          <w:rFonts w:ascii="Garamond" w:hAnsi="Garamond"/>
          <w:sz w:val="24"/>
          <w:szCs w:val="24"/>
        </w:rPr>
        <w:t>ten-minute</w:t>
      </w:r>
      <w:r w:rsidR="008150FF">
        <w:rPr>
          <w:rFonts w:ascii="Garamond" w:hAnsi="Garamond"/>
          <w:sz w:val="24"/>
          <w:szCs w:val="24"/>
        </w:rPr>
        <w:t xml:space="preserve"> break, during which students can take the daily quiz</w:t>
      </w:r>
      <w:r w:rsidR="00613E02">
        <w:rPr>
          <w:rFonts w:ascii="Garamond" w:hAnsi="Garamond"/>
          <w:sz w:val="24"/>
          <w:szCs w:val="24"/>
        </w:rPr>
        <w:t xml:space="preserve"> (due by the end of the day)</w:t>
      </w:r>
      <w:r w:rsidR="00CF2675">
        <w:rPr>
          <w:rFonts w:ascii="Garamond" w:hAnsi="Garamond"/>
          <w:sz w:val="24"/>
          <w:szCs w:val="24"/>
        </w:rPr>
        <w:t xml:space="preserve"> or grab a snack. </w:t>
      </w:r>
    </w:p>
    <w:p w14:paraId="5B3618D3" w14:textId="77777777" w:rsidR="005F6AF2" w:rsidRDefault="005F6AF2" w:rsidP="00E24AB0">
      <w:pPr>
        <w:pStyle w:val="Body"/>
        <w:jc w:val="both"/>
        <w:rPr>
          <w:rFonts w:ascii="Garamond" w:hAnsi="Garamond"/>
          <w:sz w:val="24"/>
          <w:szCs w:val="24"/>
        </w:rPr>
      </w:pPr>
    </w:p>
    <w:p w14:paraId="3358D57A" w14:textId="3656F1F5" w:rsidR="00B10E57" w:rsidRPr="005F6AF2" w:rsidRDefault="00CF2675" w:rsidP="005F6AF2">
      <w:pPr>
        <w:pStyle w:val="Body"/>
        <w:jc w:val="both"/>
        <w:rPr>
          <w:rFonts w:ascii="Garamond" w:hAnsi="Garamond"/>
          <w:sz w:val="24"/>
          <w:szCs w:val="24"/>
        </w:rPr>
      </w:pPr>
      <w:r w:rsidRPr="005F6AF2">
        <w:rPr>
          <w:rFonts w:ascii="Garamond" w:hAnsi="Garamond"/>
          <w:sz w:val="24"/>
          <w:szCs w:val="24"/>
        </w:rPr>
        <w:t>Then, the last hour of class will be dedicated to discussion</w:t>
      </w:r>
      <w:r w:rsidR="005F6AF2" w:rsidRPr="005F6AF2">
        <w:rPr>
          <w:rFonts w:ascii="Garamond" w:hAnsi="Garamond"/>
          <w:sz w:val="24"/>
          <w:szCs w:val="24"/>
        </w:rPr>
        <w:t xml:space="preserve">. </w:t>
      </w:r>
      <w:r w:rsidR="000079E7" w:rsidRPr="005F6AF2">
        <w:rPr>
          <w:rFonts w:ascii="Garamond" w:hAnsi="Garamond"/>
          <w:sz w:val="24"/>
          <w:szCs w:val="24"/>
        </w:rPr>
        <w:t xml:space="preserve">This provides </w:t>
      </w:r>
      <w:r w:rsidR="00DC3189" w:rsidRPr="005F6AF2">
        <w:rPr>
          <w:rFonts w:ascii="Garamond" w:hAnsi="Garamond"/>
          <w:sz w:val="24"/>
          <w:szCs w:val="24"/>
        </w:rPr>
        <w:t xml:space="preserve">you </w:t>
      </w:r>
      <w:r w:rsidR="000079E7" w:rsidRPr="005F6AF2">
        <w:rPr>
          <w:rFonts w:ascii="Garamond" w:hAnsi="Garamond"/>
          <w:sz w:val="24"/>
          <w:szCs w:val="24"/>
        </w:rPr>
        <w:t xml:space="preserve">a chance to work through the day’s philosophical ideas with your classmates. While discussion is an important element of </w:t>
      </w:r>
      <w:r w:rsidR="00DC3189" w:rsidRPr="005F6AF2">
        <w:rPr>
          <w:rFonts w:ascii="Garamond" w:hAnsi="Garamond"/>
          <w:sz w:val="24"/>
          <w:szCs w:val="24"/>
        </w:rPr>
        <w:t>most</w:t>
      </w:r>
      <w:r w:rsidR="000079E7" w:rsidRPr="005F6AF2">
        <w:rPr>
          <w:rFonts w:ascii="Garamond" w:hAnsi="Garamond"/>
          <w:sz w:val="24"/>
          <w:szCs w:val="24"/>
        </w:rPr>
        <w:t xml:space="preserve"> courses, it is especially integral for philosophy. Philosophy finds its roots in Socratic dialogue and is not an activity that is best done alone (though many people have tried). For this reason, your participation grade (20%) is determined by your regular attendance and engagement. </w:t>
      </w:r>
      <w:r w:rsidR="00B10E57" w:rsidRPr="005F6AF2">
        <w:rPr>
          <w:rFonts w:ascii="Garamond" w:hAnsi="Garamond"/>
          <w:sz w:val="24"/>
          <w:szCs w:val="24"/>
        </w:rPr>
        <w:t xml:space="preserve">You may miss up to three discussion meetings without penalty, but after that point you will be docked 5% of your total participation grade per absence. If you miss more than </w:t>
      </w:r>
      <w:r w:rsidR="008F36B3">
        <w:rPr>
          <w:rFonts w:ascii="Garamond" w:hAnsi="Garamond"/>
          <w:sz w:val="24"/>
          <w:szCs w:val="24"/>
        </w:rPr>
        <w:t>6</w:t>
      </w:r>
      <w:r w:rsidR="00B10E57" w:rsidRPr="005F6AF2">
        <w:rPr>
          <w:rFonts w:ascii="Garamond" w:hAnsi="Garamond"/>
          <w:sz w:val="24"/>
          <w:szCs w:val="24"/>
        </w:rPr>
        <w:t xml:space="preserve"> discussion meetings (not counting the three freebies), you will receive an automatic zero for participation.  Outside deductions for absence, your participation grade will be determined by your consistent contribution in section (which can be demonstrated in large group discussion or small group discussion).</w:t>
      </w:r>
    </w:p>
    <w:p w14:paraId="72027D03" w14:textId="23D68463" w:rsidR="00B10E57" w:rsidRDefault="00B10E57" w:rsidP="00B10E57">
      <w:pPr>
        <w:pStyle w:val="body0"/>
        <w:jc w:val="both"/>
        <w:rPr>
          <w:i/>
          <w:iCs/>
        </w:rPr>
      </w:pPr>
      <w:r>
        <w:rPr>
          <w:rFonts w:ascii="Garamond" w:hAnsi="Garamond"/>
        </w:rPr>
        <w:t xml:space="preserve">If, for whatever reason, you cannot attend discussion section and you have already used your three freebies, you may choose to </w:t>
      </w:r>
      <w:r w:rsidR="00ED35F1">
        <w:rPr>
          <w:rFonts w:ascii="Garamond" w:hAnsi="Garamond"/>
        </w:rPr>
        <w:t xml:space="preserve">fill out a make-up worksheet that I will </w:t>
      </w:r>
      <w:r w:rsidR="00AC05A7">
        <w:rPr>
          <w:rFonts w:ascii="Garamond" w:hAnsi="Garamond"/>
        </w:rPr>
        <w:t>post to the Canvas page</w:t>
      </w:r>
      <w:r w:rsidR="00ED35F1">
        <w:rPr>
          <w:rFonts w:ascii="Garamond" w:hAnsi="Garamond"/>
        </w:rPr>
        <w:t>.</w:t>
      </w:r>
      <w:r w:rsidR="00451445">
        <w:rPr>
          <w:rFonts w:ascii="Garamond" w:hAnsi="Garamond"/>
        </w:rPr>
        <w:t xml:space="preserve"> </w:t>
      </w:r>
      <w:r w:rsidR="00316827">
        <w:rPr>
          <w:rFonts w:ascii="Garamond" w:hAnsi="Garamond"/>
        </w:rPr>
        <w:t>This worksheet will be based on the activit</w:t>
      </w:r>
      <w:r w:rsidR="00431333">
        <w:rPr>
          <w:rFonts w:ascii="Garamond" w:hAnsi="Garamond"/>
        </w:rPr>
        <w:t>ies</w:t>
      </w:r>
      <w:r w:rsidR="00316827">
        <w:rPr>
          <w:rFonts w:ascii="Garamond" w:hAnsi="Garamond"/>
        </w:rPr>
        <w:t xml:space="preserve"> we </w:t>
      </w:r>
      <w:r w:rsidR="00431333">
        <w:rPr>
          <w:rFonts w:ascii="Garamond" w:hAnsi="Garamond"/>
        </w:rPr>
        <w:t>do</w:t>
      </w:r>
      <w:r w:rsidR="00316827">
        <w:rPr>
          <w:rFonts w:ascii="Garamond" w:hAnsi="Garamond"/>
        </w:rPr>
        <w:t xml:space="preserve"> </w:t>
      </w:r>
      <w:r w:rsidR="00376CCD">
        <w:rPr>
          <w:rFonts w:ascii="Garamond" w:hAnsi="Garamond"/>
        </w:rPr>
        <w:t>in class</w:t>
      </w:r>
      <w:r w:rsidR="00316827">
        <w:rPr>
          <w:rFonts w:ascii="Garamond" w:hAnsi="Garamond"/>
        </w:rPr>
        <w:t>,</w:t>
      </w:r>
      <w:r w:rsidR="00431333">
        <w:rPr>
          <w:rFonts w:ascii="Garamond" w:hAnsi="Garamond"/>
        </w:rPr>
        <w:t xml:space="preserve"> and frequently</w:t>
      </w:r>
      <w:r w:rsidR="00376CCD">
        <w:rPr>
          <w:rFonts w:ascii="Garamond" w:hAnsi="Garamond"/>
        </w:rPr>
        <w:t xml:space="preserve"> other</w:t>
      </w:r>
      <w:r w:rsidR="00431333">
        <w:rPr>
          <w:rFonts w:ascii="Garamond" w:hAnsi="Garamond"/>
        </w:rPr>
        <w:t xml:space="preserve"> students will </w:t>
      </w:r>
      <w:r w:rsidR="00376CCD">
        <w:rPr>
          <w:rFonts w:ascii="Garamond" w:hAnsi="Garamond"/>
        </w:rPr>
        <w:t xml:space="preserve">have already </w:t>
      </w:r>
      <w:r w:rsidR="00431333">
        <w:rPr>
          <w:rFonts w:ascii="Garamond" w:hAnsi="Garamond"/>
        </w:rPr>
        <w:t>fill</w:t>
      </w:r>
      <w:r w:rsidR="00376CCD">
        <w:rPr>
          <w:rFonts w:ascii="Garamond" w:hAnsi="Garamond"/>
        </w:rPr>
        <w:t>ed</w:t>
      </w:r>
      <w:r w:rsidR="00431333">
        <w:rPr>
          <w:rFonts w:ascii="Garamond" w:hAnsi="Garamond"/>
        </w:rPr>
        <w:t xml:space="preserve"> out a version of the worksheet in </w:t>
      </w:r>
      <w:r w:rsidR="009405FD">
        <w:rPr>
          <w:rFonts w:ascii="Garamond" w:hAnsi="Garamond"/>
        </w:rPr>
        <w:t xml:space="preserve">discussion </w:t>
      </w:r>
      <w:r w:rsidR="00431333">
        <w:rPr>
          <w:rFonts w:ascii="Garamond" w:hAnsi="Garamond"/>
        </w:rPr>
        <w:t>group</w:t>
      </w:r>
      <w:r w:rsidR="00376CCD">
        <w:rPr>
          <w:rFonts w:ascii="Garamond" w:hAnsi="Garamond"/>
        </w:rPr>
        <w:t>s.</w:t>
      </w:r>
      <w:r w:rsidR="008472C3">
        <w:rPr>
          <w:rFonts w:ascii="Garamond" w:hAnsi="Garamond"/>
        </w:rPr>
        <w:t xml:space="preserve"> However, I will expect more thorough answers to the make-up worksheet, as you will not have the opportunity to elaborate verbally. </w:t>
      </w:r>
      <w:r>
        <w:rPr>
          <w:rFonts w:ascii="Garamond" w:hAnsi="Garamond"/>
        </w:rPr>
        <w:t xml:space="preserve">This </w:t>
      </w:r>
      <w:r w:rsidR="00451445">
        <w:rPr>
          <w:rFonts w:ascii="Garamond" w:hAnsi="Garamond"/>
        </w:rPr>
        <w:t>assignment</w:t>
      </w:r>
      <w:r>
        <w:rPr>
          <w:rFonts w:ascii="Garamond" w:hAnsi="Garamond"/>
        </w:rPr>
        <w:t xml:space="preserve"> must be </w:t>
      </w:r>
      <w:r w:rsidR="00451445">
        <w:rPr>
          <w:rFonts w:ascii="Garamond" w:hAnsi="Garamond"/>
        </w:rPr>
        <w:t>returned</w:t>
      </w:r>
      <w:r>
        <w:rPr>
          <w:rFonts w:ascii="Garamond" w:hAnsi="Garamond"/>
        </w:rPr>
        <w:t xml:space="preserve"> </w:t>
      </w:r>
      <w:r w:rsidR="00F33736">
        <w:rPr>
          <w:rFonts w:ascii="Garamond" w:hAnsi="Garamond"/>
        </w:rPr>
        <w:t>within 48 hours</w:t>
      </w:r>
      <w:r w:rsidR="00AC05A7">
        <w:rPr>
          <w:rFonts w:ascii="Garamond" w:hAnsi="Garamond"/>
        </w:rPr>
        <w:t xml:space="preserve"> by email</w:t>
      </w:r>
      <w:r w:rsidR="008751E4">
        <w:rPr>
          <w:rFonts w:ascii="Garamond" w:hAnsi="Garamond"/>
        </w:rPr>
        <w:t>, with the title “[Your Last Name] make-up worksheet [date of</w:t>
      </w:r>
      <w:r w:rsidR="006E7F6D">
        <w:rPr>
          <w:rFonts w:ascii="Garamond" w:hAnsi="Garamond"/>
        </w:rPr>
        <w:t xml:space="preserve"> class material</w:t>
      </w:r>
      <w:r w:rsidR="008751E4">
        <w:rPr>
          <w:rFonts w:ascii="Garamond" w:hAnsi="Garamond"/>
        </w:rPr>
        <w:t>].”</w:t>
      </w:r>
      <w:r>
        <w:rPr>
          <w:rFonts w:ascii="Garamond" w:hAnsi="Garamond"/>
        </w:rPr>
        <w:t xml:space="preserve">  </w:t>
      </w:r>
      <w:r>
        <w:rPr>
          <w:rFonts w:ascii="Garamond" w:hAnsi="Garamond"/>
          <w:i/>
          <w:iCs/>
        </w:rPr>
        <w:t xml:space="preserve">You may use this </w:t>
      </w:r>
      <w:r w:rsidR="00F33736">
        <w:rPr>
          <w:rFonts w:ascii="Garamond" w:hAnsi="Garamond"/>
          <w:i/>
          <w:iCs/>
        </w:rPr>
        <w:t xml:space="preserve">make-up </w:t>
      </w:r>
      <w:r>
        <w:rPr>
          <w:rFonts w:ascii="Garamond" w:hAnsi="Garamond"/>
          <w:i/>
          <w:iCs/>
        </w:rPr>
        <w:t>option as many times as you wish.</w:t>
      </w:r>
    </w:p>
    <w:p w14:paraId="4BF19603" w14:textId="6482D82B" w:rsidR="00DC3189" w:rsidRDefault="00DC3189" w:rsidP="00B10E57">
      <w:pPr>
        <w:pStyle w:val="Body"/>
        <w:jc w:val="both"/>
        <w:rPr>
          <w:rFonts w:ascii="Garamond" w:hAnsi="Garamond"/>
          <w:sz w:val="24"/>
          <w:szCs w:val="24"/>
        </w:rPr>
      </w:pPr>
    </w:p>
    <w:p w14:paraId="532727FF" w14:textId="6CFAFB0C" w:rsidR="00DC3189" w:rsidRDefault="004218E5" w:rsidP="00DC3189">
      <w:pPr>
        <w:pStyle w:val="Body"/>
        <w:jc w:val="both"/>
        <w:rPr>
          <w:rFonts w:ascii="Garamond" w:hAnsi="Garamond"/>
          <w:sz w:val="24"/>
          <w:szCs w:val="24"/>
        </w:rPr>
      </w:pPr>
      <w:r>
        <w:rPr>
          <w:rFonts w:ascii="Garamond" w:hAnsi="Garamond"/>
          <w:b/>
          <w:bCs/>
          <w:sz w:val="24"/>
          <w:szCs w:val="24"/>
        </w:rPr>
        <w:t>Late Polic</w:t>
      </w:r>
      <w:r w:rsidR="002B53AE">
        <w:rPr>
          <w:rFonts w:ascii="Garamond" w:hAnsi="Garamond"/>
          <w:b/>
          <w:bCs/>
          <w:sz w:val="24"/>
          <w:szCs w:val="24"/>
        </w:rPr>
        <w:t>y</w:t>
      </w:r>
    </w:p>
    <w:p w14:paraId="0B83DB7D" w14:textId="5C880E72" w:rsidR="00BD7F4C" w:rsidRDefault="00BD7F4C" w:rsidP="00DC3189">
      <w:pPr>
        <w:pStyle w:val="Body"/>
        <w:jc w:val="both"/>
        <w:rPr>
          <w:rFonts w:ascii="Garamond" w:hAnsi="Garamond"/>
          <w:sz w:val="24"/>
          <w:szCs w:val="24"/>
        </w:rPr>
      </w:pPr>
    </w:p>
    <w:p w14:paraId="2993B691" w14:textId="55457D28" w:rsidR="005B7B0D" w:rsidRDefault="00C05887" w:rsidP="005B7B0D">
      <w:pPr>
        <w:pStyle w:val="Body"/>
        <w:jc w:val="both"/>
        <w:rPr>
          <w:rFonts w:ascii="Garamond" w:hAnsi="Garamond"/>
          <w:sz w:val="24"/>
          <w:szCs w:val="24"/>
        </w:rPr>
      </w:pPr>
      <w:r>
        <w:rPr>
          <w:rFonts w:ascii="Garamond" w:hAnsi="Garamond"/>
          <w:i/>
          <w:iCs/>
          <w:sz w:val="24"/>
          <w:szCs w:val="24"/>
        </w:rPr>
        <w:t>Quizzes</w:t>
      </w:r>
      <w:r w:rsidR="00B21B26">
        <w:rPr>
          <w:rFonts w:ascii="Garamond" w:hAnsi="Garamond"/>
          <w:i/>
          <w:iCs/>
          <w:sz w:val="24"/>
          <w:szCs w:val="24"/>
        </w:rPr>
        <w:t xml:space="preserve">. </w:t>
      </w:r>
      <w:r w:rsidR="00BD7F4C">
        <w:rPr>
          <w:rFonts w:ascii="Garamond" w:hAnsi="Garamond"/>
          <w:sz w:val="24"/>
          <w:szCs w:val="24"/>
        </w:rPr>
        <w:t xml:space="preserve">Quizzes must be completed by the end of </w:t>
      </w:r>
      <w:r w:rsidR="005B7B0D">
        <w:rPr>
          <w:rFonts w:ascii="Garamond" w:hAnsi="Garamond"/>
          <w:sz w:val="24"/>
          <w:szCs w:val="24"/>
        </w:rPr>
        <w:t xml:space="preserve">the </w:t>
      </w:r>
      <w:r w:rsidR="00BD7F4C">
        <w:rPr>
          <w:rFonts w:ascii="Garamond" w:hAnsi="Garamond"/>
          <w:sz w:val="24"/>
          <w:szCs w:val="24"/>
        </w:rPr>
        <w:t>class-time</w:t>
      </w:r>
      <w:r w:rsidR="005B7B0D">
        <w:rPr>
          <w:rFonts w:ascii="Garamond" w:hAnsi="Garamond"/>
          <w:sz w:val="24"/>
          <w:szCs w:val="24"/>
        </w:rPr>
        <w:t xml:space="preserve"> for which it was assigned</w:t>
      </w:r>
      <w:r w:rsidR="00BD7F4C">
        <w:rPr>
          <w:rFonts w:ascii="Garamond" w:hAnsi="Garamond"/>
          <w:sz w:val="24"/>
          <w:szCs w:val="24"/>
        </w:rPr>
        <w:t xml:space="preserve">. No extensions are possible, for fairness reasons. However, there will be 20 quizzes (totaling to 20% of your grade), so missing a few will not cost you much. </w:t>
      </w:r>
    </w:p>
    <w:p w14:paraId="0373F188" w14:textId="194EF83A" w:rsidR="005B7B0D" w:rsidRDefault="005B7B0D" w:rsidP="005B7B0D">
      <w:pPr>
        <w:pStyle w:val="Body"/>
        <w:jc w:val="both"/>
        <w:rPr>
          <w:rFonts w:ascii="Garamond" w:hAnsi="Garamond"/>
          <w:sz w:val="24"/>
          <w:szCs w:val="24"/>
        </w:rPr>
      </w:pPr>
    </w:p>
    <w:p w14:paraId="7A740B8D" w14:textId="55195B8A" w:rsidR="005B7B0D" w:rsidRDefault="00C05887" w:rsidP="005B7B0D">
      <w:pPr>
        <w:pStyle w:val="Body"/>
        <w:jc w:val="both"/>
        <w:rPr>
          <w:rFonts w:ascii="Garamond" w:hAnsi="Garamond"/>
          <w:sz w:val="24"/>
          <w:szCs w:val="24"/>
        </w:rPr>
      </w:pPr>
      <w:r>
        <w:rPr>
          <w:rFonts w:ascii="Garamond" w:hAnsi="Garamond"/>
          <w:i/>
          <w:iCs/>
          <w:sz w:val="24"/>
          <w:szCs w:val="24"/>
        </w:rPr>
        <w:t>Written Assignments</w:t>
      </w:r>
      <w:r w:rsidR="00B21B26">
        <w:rPr>
          <w:rFonts w:ascii="Garamond" w:hAnsi="Garamond"/>
          <w:i/>
          <w:iCs/>
          <w:sz w:val="24"/>
          <w:szCs w:val="24"/>
        </w:rPr>
        <w:t>.</w:t>
      </w:r>
      <w:r>
        <w:rPr>
          <w:rFonts w:ascii="Garamond" w:hAnsi="Garamond"/>
          <w:i/>
          <w:iCs/>
          <w:sz w:val="24"/>
          <w:szCs w:val="24"/>
        </w:rPr>
        <w:t xml:space="preserve"> </w:t>
      </w:r>
      <w:r w:rsidR="00B21B26">
        <w:rPr>
          <w:rFonts w:ascii="Garamond" w:hAnsi="Garamond"/>
          <w:sz w:val="24"/>
          <w:szCs w:val="24"/>
        </w:rPr>
        <w:t>Due t</w:t>
      </w:r>
      <w:r w:rsidR="005B7B0D">
        <w:rPr>
          <w:rFonts w:ascii="Garamond" w:hAnsi="Garamond"/>
          <w:sz w:val="24"/>
          <w:szCs w:val="24"/>
        </w:rPr>
        <w:t xml:space="preserve">o the </w:t>
      </w:r>
      <w:r w:rsidR="004E56AD">
        <w:rPr>
          <w:rFonts w:ascii="Garamond" w:hAnsi="Garamond"/>
          <w:sz w:val="24"/>
          <w:szCs w:val="24"/>
        </w:rPr>
        <w:t>shor</w:t>
      </w:r>
      <w:r w:rsidR="007422C3">
        <w:rPr>
          <w:rFonts w:ascii="Garamond" w:hAnsi="Garamond"/>
          <w:sz w:val="24"/>
          <w:szCs w:val="24"/>
        </w:rPr>
        <w:t>t length of summer courses,</w:t>
      </w:r>
      <w:r w:rsidR="00FA6F35">
        <w:rPr>
          <w:rFonts w:ascii="Garamond" w:hAnsi="Garamond"/>
          <w:sz w:val="24"/>
          <w:szCs w:val="24"/>
        </w:rPr>
        <w:t xml:space="preserve"> extensions are</w:t>
      </w:r>
      <w:r w:rsidR="007422C3">
        <w:rPr>
          <w:rFonts w:ascii="Garamond" w:hAnsi="Garamond"/>
          <w:sz w:val="24"/>
          <w:szCs w:val="24"/>
        </w:rPr>
        <w:t xml:space="preserve"> </w:t>
      </w:r>
      <w:r w:rsidR="005B7B0D">
        <w:rPr>
          <w:rFonts w:ascii="Garamond" w:hAnsi="Garamond"/>
          <w:sz w:val="24"/>
          <w:szCs w:val="24"/>
        </w:rPr>
        <w:t>discouraged</w:t>
      </w:r>
      <w:r w:rsidR="007422C3">
        <w:rPr>
          <w:rFonts w:ascii="Garamond" w:hAnsi="Garamond"/>
          <w:sz w:val="24"/>
          <w:szCs w:val="24"/>
        </w:rPr>
        <w:t xml:space="preserve"> for written assignment</w:t>
      </w:r>
      <w:r w:rsidR="005B7B0D">
        <w:rPr>
          <w:rFonts w:ascii="Garamond" w:hAnsi="Garamond"/>
          <w:sz w:val="24"/>
          <w:szCs w:val="24"/>
        </w:rPr>
        <w:t>.</w:t>
      </w:r>
      <w:r w:rsidR="00FA6F35">
        <w:rPr>
          <w:rFonts w:ascii="Garamond" w:hAnsi="Garamond"/>
          <w:sz w:val="24"/>
          <w:szCs w:val="24"/>
        </w:rPr>
        <w:t xml:space="preserve"> </w:t>
      </w:r>
      <w:r w:rsidR="00FF69D8">
        <w:rPr>
          <w:rFonts w:ascii="Garamond" w:hAnsi="Garamond"/>
          <w:sz w:val="24"/>
          <w:szCs w:val="24"/>
        </w:rPr>
        <w:t xml:space="preserve">This said, I understand that life can get in the way sometimes. </w:t>
      </w:r>
      <w:r w:rsidR="008F5EF3">
        <w:rPr>
          <w:rFonts w:ascii="Garamond" w:hAnsi="Garamond"/>
          <w:sz w:val="24"/>
          <w:szCs w:val="24"/>
        </w:rPr>
        <w:t xml:space="preserve">I will not deduct for lateness so long as you turn in your assignment by the </w:t>
      </w:r>
      <w:proofErr w:type="gramStart"/>
      <w:r w:rsidR="008F5EF3">
        <w:rPr>
          <w:rFonts w:ascii="Garamond" w:hAnsi="Garamond"/>
          <w:sz w:val="24"/>
          <w:szCs w:val="24"/>
        </w:rPr>
        <w:t>time</w:t>
      </w:r>
      <w:proofErr w:type="gramEnd"/>
      <w:r w:rsidR="008F5EF3">
        <w:rPr>
          <w:rFonts w:ascii="Garamond" w:hAnsi="Garamond"/>
          <w:sz w:val="24"/>
          <w:szCs w:val="24"/>
        </w:rPr>
        <w:t xml:space="preserve"> I start grading. However, due to summer’s quick </w:t>
      </w:r>
      <w:proofErr w:type="gramStart"/>
      <w:r w:rsidR="008F5EF3">
        <w:rPr>
          <w:rFonts w:ascii="Garamond" w:hAnsi="Garamond"/>
          <w:sz w:val="24"/>
          <w:szCs w:val="24"/>
        </w:rPr>
        <w:t>turn-arounds</w:t>
      </w:r>
      <w:proofErr w:type="gramEnd"/>
      <w:r w:rsidR="00AE6C3E">
        <w:rPr>
          <w:rFonts w:ascii="Garamond" w:hAnsi="Garamond"/>
          <w:sz w:val="24"/>
          <w:szCs w:val="24"/>
        </w:rPr>
        <w:t xml:space="preserve">, I will usually begin grading within 24 hours of the due date. </w:t>
      </w:r>
      <w:r w:rsidR="00FF69D8">
        <w:rPr>
          <w:rFonts w:ascii="Garamond" w:hAnsi="Garamond"/>
          <w:sz w:val="24"/>
          <w:szCs w:val="24"/>
        </w:rPr>
        <w:t>If you</w:t>
      </w:r>
      <w:r w:rsidR="00AE6C3E">
        <w:rPr>
          <w:rFonts w:ascii="Garamond" w:hAnsi="Garamond"/>
          <w:sz w:val="24"/>
          <w:szCs w:val="24"/>
        </w:rPr>
        <w:t xml:space="preserve"> do not wish to take the gamble that you will be able to submit your assignment before I go to grade it, you are free to ask for</w:t>
      </w:r>
      <w:r w:rsidR="00FF69D8">
        <w:rPr>
          <w:rFonts w:ascii="Garamond" w:hAnsi="Garamond"/>
          <w:sz w:val="24"/>
          <w:szCs w:val="24"/>
        </w:rPr>
        <w:t xml:space="preserve"> an extension</w:t>
      </w:r>
      <w:r w:rsidR="00AE6C3E">
        <w:rPr>
          <w:rFonts w:ascii="Garamond" w:hAnsi="Garamond"/>
          <w:sz w:val="24"/>
          <w:szCs w:val="24"/>
        </w:rPr>
        <w:t>. However,</w:t>
      </w:r>
      <w:r w:rsidR="00FF69D8">
        <w:rPr>
          <w:rFonts w:ascii="Garamond" w:hAnsi="Garamond"/>
          <w:sz w:val="24"/>
          <w:szCs w:val="24"/>
        </w:rPr>
        <w:t xml:space="preserve"> please come talk to me </w:t>
      </w:r>
      <w:r w:rsidR="00FF69D8">
        <w:rPr>
          <w:rFonts w:ascii="Garamond" w:hAnsi="Garamond"/>
          <w:b/>
          <w:bCs/>
          <w:i/>
          <w:iCs/>
          <w:sz w:val="24"/>
          <w:szCs w:val="24"/>
        </w:rPr>
        <w:t xml:space="preserve">before the due </w:t>
      </w:r>
      <w:r w:rsidR="008F5EF3" w:rsidRPr="008F5EF3">
        <w:rPr>
          <w:rFonts w:ascii="Garamond" w:hAnsi="Garamond"/>
          <w:b/>
          <w:bCs/>
          <w:i/>
          <w:iCs/>
          <w:sz w:val="24"/>
          <w:szCs w:val="24"/>
        </w:rPr>
        <w:t>dat</w:t>
      </w:r>
      <w:r w:rsidR="008F5EF3">
        <w:rPr>
          <w:rFonts w:ascii="Garamond" w:hAnsi="Garamond"/>
          <w:b/>
          <w:bCs/>
          <w:i/>
          <w:iCs/>
          <w:sz w:val="24"/>
          <w:szCs w:val="24"/>
        </w:rPr>
        <w:t xml:space="preserve">e. </w:t>
      </w:r>
      <w:r w:rsidR="00AE6C3E">
        <w:rPr>
          <w:rFonts w:ascii="Garamond" w:hAnsi="Garamond"/>
          <w:sz w:val="24"/>
          <w:szCs w:val="24"/>
        </w:rPr>
        <w:t xml:space="preserve">If you do, my policy is to be </w:t>
      </w:r>
      <w:proofErr w:type="gramStart"/>
      <w:r w:rsidR="00AE6C3E">
        <w:rPr>
          <w:rFonts w:ascii="Garamond" w:hAnsi="Garamond"/>
          <w:sz w:val="24"/>
          <w:szCs w:val="24"/>
        </w:rPr>
        <w:t>accommodating</w:t>
      </w:r>
      <w:r w:rsidR="00DC71B8">
        <w:rPr>
          <w:rFonts w:ascii="Garamond" w:hAnsi="Garamond"/>
          <w:sz w:val="24"/>
          <w:szCs w:val="24"/>
        </w:rPr>
        <w:t>:</w:t>
      </w:r>
      <w:proofErr w:type="gramEnd"/>
      <w:r w:rsidR="00DC71B8">
        <w:rPr>
          <w:rFonts w:ascii="Garamond" w:hAnsi="Garamond"/>
          <w:sz w:val="24"/>
          <w:szCs w:val="24"/>
        </w:rPr>
        <w:t xml:space="preserve"> I </w:t>
      </w:r>
      <w:r w:rsidR="007F61BC">
        <w:rPr>
          <w:rFonts w:ascii="Garamond" w:hAnsi="Garamond"/>
          <w:sz w:val="24"/>
          <w:szCs w:val="24"/>
        </w:rPr>
        <w:t>offer 24-, 48-, and 72- hour extensions upon request.</w:t>
      </w:r>
      <w:r w:rsidR="00AE6C3E">
        <w:rPr>
          <w:rFonts w:ascii="Garamond" w:hAnsi="Garamond"/>
          <w:sz w:val="24"/>
          <w:szCs w:val="24"/>
        </w:rPr>
        <w:t xml:space="preserve"> </w:t>
      </w:r>
    </w:p>
    <w:p w14:paraId="6A9F028E" w14:textId="61504655" w:rsidR="00BD7F4C" w:rsidRDefault="00BD7F4C" w:rsidP="00DC3189">
      <w:pPr>
        <w:pStyle w:val="Body"/>
        <w:jc w:val="both"/>
        <w:rPr>
          <w:rFonts w:ascii="Garamond" w:hAnsi="Garamond"/>
          <w:sz w:val="24"/>
          <w:szCs w:val="24"/>
        </w:rPr>
      </w:pPr>
    </w:p>
    <w:p w14:paraId="5FA70398" w14:textId="2541BA75" w:rsidR="009A6175" w:rsidRDefault="009A6175" w:rsidP="00DC3189">
      <w:pPr>
        <w:pStyle w:val="Body"/>
        <w:jc w:val="both"/>
        <w:rPr>
          <w:rFonts w:ascii="Garamond" w:hAnsi="Garamond"/>
          <w:sz w:val="24"/>
          <w:szCs w:val="24"/>
        </w:rPr>
      </w:pPr>
    </w:p>
    <w:p w14:paraId="111AC102" w14:textId="4A6B28D1" w:rsidR="00287D92" w:rsidRDefault="00287D92" w:rsidP="002B53AE">
      <w:pPr>
        <w:rPr>
          <w:rFonts w:ascii="Garamond" w:hAnsi="Garamond"/>
          <w:sz w:val="36"/>
          <w:szCs w:val="36"/>
        </w:rPr>
      </w:pPr>
    </w:p>
    <w:p w14:paraId="0C09B185" w14:textId="6AEBFBC1" w:rsidR="00287D92" w:rsidRDefault="00287D92" w:rsidP="002B53AE">
      <w:pPr>
        <w:rPr>
          <w:rFonts w:ascii="Garamond" w:hAnsi="Garamond"/>
          <w:sz w:val="36"/>
          <w:szCs w:val="36"/>
        </w:rPr>
      </w:pPr>
    </w:p>
    <w:p w14:paraId="7A25FD0B" w14:textId="77777777" w:rsidR="00287D92" w:rsidRDefault="00287D92" w:rsidP="002B53AE">
      <w:pPr>
        <w:rPr>
          <w:rFonts w:ascii="Garamond" w:hAnsi="Garamond"/>
          <w:sz w:val="36"/>
          <w:szCs w:val="36"/>
        </w:rPr>
      </w:pPr>
    </w:p>
    <w:p w14:paraId="73CFF432" w14:textId="56803BEA" w:rsidR="004519AA" w:rsidRPr="000E6B32" w:rsidRDefault="004519AA" w:rsidP="004519AA">
      <w:pPr>
        <w:jc w:val="center"/>
        <w:rPr>
          <w:rFonts w:ascii="Garamond" w:hAnsi="Garamond"/>
          <w:sz w:val="36"/>
          <w:szCs w:val="36"/>
        </w:rPr>
      </w:pPr>
      <w:r w:rsidRPr="000E6B32">
        <w:rPr>
          <w:rFonts w:ascii="Garamond" w:hAnsi="Garamond"/>
          <w:sz w:val="36"/>
          <w:szCs w:val="36"/>
        </w:rPr>
        <w:t xml:space="preserve">Information For Students </w:t>
      </w:r>
    </w:p>
    <w:p w14:paraId="6F19B844" w14:textId="77777777" w:rsidR="004519AA" w:rsidRPr="000E6B32" w:rsidRDefault="004519AA" w:rsidP="004519AA">
      <w:pPr>
        <w:jc w:val="center"/>
        <w:rPr>
          <w:rFonts w:ascii="Garamond" w:hAnsi="Garamond"/>
          <w:i/>
          <w:iCs/>
        </w:rPr>
      </w:pPr>
      <w:r w:rsidRPr="000E6B32">
        <w:rPr>
          <w:rFonts w:ascii="Garamond" w:hAnsi="Garamond"/>
          <w:i/>
          <w:iCs/>
        </w:rPr>
        <w:t>University of Washington, Department of Philosophy</w:t>
      </w:r>
    </w:p>
    <w:p w14:paraId="48BF077B" w14:textId="77777777" w:rsidR="004519AA" w:rsidRPr="000E6B32" w:rsidRDefault="004519AA" w:rsidP="004519AA">
      <w:pPr>
        <w:pStyle w:val="Heading2"/>
        <w:rPr>
          <w:rFonts w:ascii="Garamond" w:hAnsi="Garamond"/>
        </w:rPr>
      </w:pPr>
      <w:r w:rsidRPr="000E6B32">
        <w:rPr>
          <w:rFonts w:ascii="Garamond" w:hAnsi="Garamond"/>
        </w:rPr>
        <w:t>Policies and resources</w:t>
      </w:r>
    </w:p>
    <w:p w14:paraId="638EE069" w14:textId="77777777" w:rsidR="004519AA" w:rsidRPr="000E6B32" w:rsidRDefault="004519AA" w:rsidP="004519AA">
      <w:pPr>
        <w:pStyle w:val="Heading3"/>
        <w:rPr>
          <w:rFonts w:ascii="Garamond" w:hAnsi="Garamond"/>
        </w:rPr>
      </w:pPr>
      <w:r w:rsidRPr="000E6B32">
        <w:rPr>
          <w:rFonts w:ascii="Garamond" w:hAnsi="Garamond"/>
        </w:rPr>
        <w:t>Academic Misconduct</w:t>
      </w:r>
    </w:p>
    <w:p w14:paraId="7B43F71B" w14:textId="77777777" w:rsidR="004519AA" w:rsidRPr="000E6B32" w:rsidRDefault="004519AA" w:rsidP="004519AA">
      <w:pPr>
        <w:spacing w:after="120"/>
        <w:ind w:right="720"/>
        <w:rPr>
          <w:rFonts w:ascii="Garamond" w:hAnsi="Garamond"/>
        </w:rPr>
      </w:pPr>
      <w:r w:rsidRPr="000E6B32">
        <w:rPr>
          <w:rFonts w:ascii="Garamond" w:hAnsi="Garamond"/>
        </w:rPr>
        <w:t xml:space="preserve">Academic misconduct, including plagiarism, is prohibited by the </w:t>
      </w:r>
      <w:hyperlink r:id="rId10" w:history="1">
        <w:r w:rsidRPr="000E6B32">
          <w:rPr>
            <w:rStyle w:val="Hyperlink"/>
            <w:rFonts w:ascii="Garamond" w:hAnsi="Garamond"/>
          </w:rPr>
          <w:t>Student Conduct Code for the University of Washington</w:t>
        </w:r>
      </w:hyperlink>
      <w:r w:rsidRPr="000E6B32">
        <w:rPr>
          <w:rFonts w:ascii="Garamond" w:hAnsi="Garamond"/>
        </w:rPr>
        <w:t xml:space="preserve"> and is taken very seriously by the UW. According to the student conduct code, academic misconduct includes:</w:t>
      </w:r>
    </w:p>
    <w:p w14:paraId="796BB447" w14:textId="77777777" w:rsidR="004519AA" w:rsidRPr="000E6B32" w:rsidRDefault="004519AA" w:rsidP="004519AA">
      <w:pPr>
        <w:pStyle w:val="ListParagraph"/>
        <w:numPr>
          <w:ilvl w:val="0"/>
          <w:numId w:val="2"/>
        </w:numPr>
        <w:rPr>
          <w:rFonts w:ascii="Garamond" w:hAnsi="Garamond"/>
        </w:rPr>
      </w:pPr>
      <w:r w:rsidRPr="000E6B32">
        <w:rPr>
          <w:rFonts w:ascii="Garamond" w:hAnsi="Garamond"/>
        </w:rPr>
        <w:t>"Cheating" which includes, but is not limited to:</w:t>
      </w:r>
    </w:p>
    <w:p w14:paraId="33EFF02B" w14:textId="77777777" w:rsidR="004519AA" w:rsidRPr="000E6B32" w:rsidRDefault="004519AA" w:rsidP="004519AA">
      <w:pPr>
        <w:pStyle w:val="ListParagraph"/>
        <w:numPr>
          <w:ilvl w:val="1"/>
          <w:numId w:val="2"/>
        </w:numPr>
        <w:rPr>
          <w:rFonts w:ascii="Garamond" w:hAnsi="Garamond"/>
        </w:rPr>
      </w:pPr>
      <w:r w:rsidRPr="000E6B32">
        <w:rPr>
          <w:rFonts w:ascii="Garamond" w:hAnsi="Garamond"/>
        </w:rPr>
        <w:t xml:space="preserve">The use of unauthorized assistance in taking quizzes, tests, or examinations, or completing </w:t>
      </w:r>
      <w:proofErr w:type="gramStart"/>
      <w:r w:rsidRPr="000E6B32">
        <w:rPr>
          <w:rFonts w:ascii="Garamond" w:hAnsi="Garamond"/>
        </w:rPr>
        <w:t>assignments;</w:t>
      </w:r>
      <w:proofErr w:type="gramEnd"/>
    </w:p>
    <w:p w14:paraId="16DD7C83" w14:textId="77777777" w:rsidR="004519AA" w:rsidRPr="000E6B32" w:rsidRDefault="004519AA" w:rsidP="004519AA">
      <w:pPr>
        <w:pStyle w:val="ListParagraph"/>
        <w:numPr>
          <w:ilvl w:val="1"/>
          <w:numId w:val="2"/>
        </w:numPr>
        <w:rPr>
          <w:rFonts w:ascii="Garamond" w:hAnsi="Garamond"/>
        </w:rPr>
      </w:pPr>
      <w:r w:rsidRPr="000E6B32">
        <w:rPr>
          <w:rFonts w:ascii="Garamond" w:hAnsi="Garamond"/>
        </w:rPr>
        <w:t>The acquisition, use, or distribution of unpublished materials created by another student without the express permission of the original author(s</w:t>
      </w:r>
      <w:proofErr w:type="gramStart"/>
      <w:r w:rsidRPr="000E6B32">
        <w:rPr>
          <w:rFonts w:ascii="Garamond" w:hAnsi="Garamond"/>
        </w:rPr>
        <w:t>);</w:t>
      </w:r>
      <w:proofErr w:type="gramEnd"/>
    </w:p>
    <w:p w14:paraId="49FE6DBA" w14:textId="77777777" w:rsidR="004519AA" w:rsidRPr="000E6B32" w:rsidRDefault="004519AA" w:rsidP="004519AA">
      <w:pPr>
        <w:pStyle w:val="ListParagraph"/>
        <w:numPr>
          <w:ilvl w:val="1"/>
          <w:numId w:val="2"/>
        </w:numPr>
        <w:rPr>
          <w:rFonts w:ascii="Garamond" w:hAnsi="Garamond"/>
        </w:rPr>
      </w:pPr>
      <w:r w:rsidRPr="000E6B32">
        <w:rPr>
          <w:rFonts w:ascii="Garamond" w:hAnsi="Garamond"/>
        </w:rPr>
        <w:t>Using online sources, such as solution manuals, without the permission of the instructor to complete assignments, exams, tests, or quizzes; or</w:t>
      </w:r>
    </w:p>
    <w:p w14:paraId="40C464FE" w14:textId="77777777" w:rsidR="004519AA" w:rsidRPr="000E6B32" w:rsidRDefault="004519AA" w:rsidP="004519AA">
      <w:pPr>
        <w:pStyle w:val="ListParagraph"/>
        <w:numPr>
          <w:ilvl w:val="1"/>
          <w:numId w:val="2"/>
        </w:numPr>
        <w:spacing w:after="120"/>
        <w:contextualSpacing w:val="0"/>
        <w:rPr>
          <w:rFonts w:ascii="Garamond" w:hAnsi="Garamond"/>
        </w:rPr>
      </w:pPr>
      <w:r w:rsidRPr="000E6B32">
        <w:rPr>
          <w:rFonts w:ascii="Garamond" w:hAnsi="Garamond"/>
        </w:rPr>
        <w:t>Requesting, hiring, or otherwise encouraging someone to take a course, exam, test, or complete assignments for a student.</w:t>
      </w:r>
    </w:p>
    <w:p w14:paraId="496337BE"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t>"Falsification," which is the intentional use or submission of falsified data, records, or other information including, but not limited to, records of internship or practicum experiences or attendance at any required event(s), or scholarly research.</w:t>
      </w:r>
    </w:p>
    <w:p w14:paraId="7E5E5B32" w14:textId="77777777" w:rsidR="004519AA" w:rsidRPr="000E6B32" w:rsidRDefault="004519AA" w:rsidP="004519AA">
      <w:pPr>
        <w:pStyle w:val="ListParagraph"/>
        <w:numPr>
          <w:ilvl w:val="0"/>
          <w:numId w:val="2"/>
        </w:numPr>
        <w:contextualSpacing w:val="0"/>
        <w:rPr>
          <w:rFonts w:ascii="Garamond" w:hAnsi="Garamond"/>
        </w:rPr>
      </w:pPr>
      <w:r w:rsidRPr="000E6B32">
        <w:rPr>
          <w:rFonts w:ascii="Garamond" w:hAnsi="Garamond"/>
        </w:rPr>
        <w:t>"Plagiarism," which is the submission or presentation of someone else's words, composition, research, or expressed ideas, whether published or unpublished, without attribution. Plagiarism includes, but is not limited to:</w:t>
      </w:r>
    </w:p>
    <w:p w14:paraId="04DD91F1" w14:textId="77777777" w:rsidR="004519AA" w:rsidRPr="000E6B32" w:rsidRDefault="004519AA" w:rsidP="004519AA">
      <w:pPr>
        <w:pStyle w:val="ListParagraph"/>
        <w:numPr>
          <w:ilvl w:val="1"/>
          <w:numId w:val="2"/>
        </w:numPr>
        <w:contextualSpacing w:val="0"/>
        <w:rPr>
          <w:rFonts w:ascii="Garamond" w:hAnsi="Garamond"/>
        </w:rPr>
      </w:pPr>
      <w:r w:rsidRPr="000E6B32">
        <w:rPr>
          <w:rFonts w:ascii="Garamond" w:hAnsi="Garamond"/>
        </w:rPr>
        <w:t>The use, by paraphrase or direct quotation, of the published or unpublished work of another person without full and clear acknowledgment; or</w:t>
      </w:r>
    </w:p>
    <w:p w14:paraId="433478EE" w14:textId="77777777" w:rsidR="004519AA" w:rsidRPr="000E6B32" w:rsidRDefault="004519AA" w:rsidP="004519AA">
      <w:pPr>
        <w:pStyle w:val="ListParagraph"/>
        <w:numPr>
          <w:ilvl w:val="1"/>
          <w:numId w:val="2"/>
        </w:numPr>
        <w:spacing w:after="120"/>
        <w:contextualSpacing w:val="0"/>
        <w:rPr>
          <w:rFonts w:ascii="Garamond" w:hAnsi="Garamond"/>
        </w:rPr>
      </w:pPr>
      <w:r w:rsidRPr="000E6B32">
        <w:rPr>
          <w:rFonts w:ascii="Garamond" w:hAnsi="Garamond"/>
        </w:rPr>
        <w:t>The unacknowledged use of materials prepared by another person or acquired from an entity engaging in the selling of term papers or other academic materials.</w:t>
      </w:r>
    </w:p>
    <w:p w14:paraId="4F102D02"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t>Unauthorized collaboration.</w:t>
      </w:r>
    </w:p>
    <w:p w14:paraId="3A9B8ACE"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t xml:space="preserve">Engaging in behavior specifically prohibited by an instructor </w:t>
      </w:r>
      <w:proofErr w:type="gramStart"/>
      <w:r w:rsidRPr="000E6B32">
        <w:rPr>
          <w:rFonts w:ascii="Garamond" w:hAnsi="Garamond"/>
        </w:rPr>
        <w:t>in the course of</w:t>
      </w:r>
      <w:proofErr w:type="gramEnd"/>
      <w:r w:rsidRPr="000E6B32">
        <w:rPr>
          <w:rFonts w:ascii="Garamond" w:hAnsi="Garamond"/>
        </w:rPr>
        <w:t xml:space="preserve"> class instruction or in a course syllabus.</w:t>
      </w:r>
    </w:p>
    <w:p w14:paraId="7C28DBF2"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t>Multiple submissions of the same work in separate courses without the express permission of the instructor(s).</w:t>
      </w:r>
    </w:p>
    <w:p w14:paraId="468ACE52"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t xml:space="preserve">Taking deliberate action to destroy or damage another's academic work </w:t>
      </w:r>
      <w:proofErr w:type="gramStart"/>
      <w:r w:rsidRPr="000E6B32">
        <w:rPr>
          <w:rFonts w:ascii="Garamond" w:hAnsi="Garamond"/>
        </w:rPr>
        <w:t>in order to</w:t>
      </w:r>
      <w:proofErr w:type="gramEnd"/>
      <w:r w:rsidRPr="000E6B32">
        <w:rPr>
          <w:rFonts w:ascii="Garamond" w:hAnsi="Garamond"/>
        </w:rPr>
        <w:t xml:space="preserve"> gain an advantage for oneself or another.</w:t>
      </w:r>
    </w:p>
    <w:p w14:paraId="5619FFEC" w14:textId="77777777" w:rsidR="004519AA" w:rsidRPr="000E6B32" w:rsidRDefault="004519AA" w:rsidP="004519AA">
      <w:pPr>
        <w:pStyle w:val="ListParagraph"/>
        <w:numPr>
          <w:ilvl w:val="0"/>
          <w:numId w:val="2"/>
        </w:numPr>
        <w:spacing w:after="120"/>
        <w:contextualSpacing w:val="0"/>
        <w:rPr>
          <w:rFonts w:ascii="Garamond" w:hAnsi="Garamond"/>
        </w:rPr>
      </w:pPr>
      <w:r w:rsidRPr="000E6B32">
        <w:rPr>
          <w:rFonts w:ascii="Garamond" w:hAnsi="Garamond"/>
        </w:rPr>
        <w:lastRenderedPageBreak/>
        <w:t>The recording of instructional content without the express permission of the instructor(s), unless approved as a disability accommodation, and/or the dissemination or use of such unauthorized records.</w:t>
      </w:r>
    </w:p>
    <w:p w14:paraId="3E7BDC4C" w14:textId="77777777" w:rsidR="004519AA" w:rsidRPr="000E6B32" w:rsidRDefault="004519AA" w:rsidP="004519AA">
      <w:pPr>
        <w:ind w:left="360"/>
        <w:rPr>
          <w:rFonts w:ascii="Garamond" w:hAnsi="Garamond"/>
        </w:rPr>
      </w:pPr>
      <w:r w:rsidRPr="000E6B32">
        <w:rPr>
          <w:rFonts w:ascii="Garamond" w:hAnsi="Garamond"/>
        </w:rPr>
        <w:t xml:space="preserve">(Source: </w:t>
      </w:r>
      <w:hyperlink r:id="rId11" w:history="1">
        <w:r w:rsidRPr="000E6B32">
          <w:rPr>
            <w:rStyle w:val="Hyperlink"/>
            <w:rFonts w:ascii="Garamond" w:hAnsi="Garamond"/>
          </w:rPr>
          <w:t>WAC 478-121 - Academic Misconduct</w:t>
        </w:r>
      </w:hyperlink>
      <w:r w:rsidRPr="000E6B32">
        <w:rPr>
          <w:rFonts w:ascii="Garamond" w:hAnsi="Garamond"/>
        </w:rPr>
        <w:t>)</w:t>
      </w:r>
    </w:p>
    <w:p w14:paraId="30BF281A" w14:textId="77777777" w:rsidR="004519AA" w:rsidRPr="000E6B32" w:rsidRDefault="004519AA" w:rsidP="004519AA">
      <w:pPr>
        <w:ind w:left="720" w:right="720"/>
        <w:rPr>
          <w:rFonts w:ascii="Garamond" w:hAnsi="Garamond"/>
        </w:rPr>
      </w:pPr>
    </w:p>
    <w:p w14:paraId="307234C7" w14:textId="77777777" w:rsidR="004519AA" w:rsidRPr="000E6B32" w:rsidRDefault="004519AA" w:rsidP="004519AA">
      <w:pPr>
        <w:rPr>
          <w:rFonts w:ascii="Garamond" w:hAnsi="Garamond"/>
        </w:rPr>
      </w:pPr>
      <w:r w:rsidRPr="000E6B32">
        <w:rPr>
          <w:rFonts w:ascii="Garamond" w:hAnsi="Garamond"/>
        </w:rPr>
        <w:t>Plagiarism may lead to disciplinary action by the University against the student who submitted the work. Any student who is uncertain whether his or her use of the work of others constitutes plagiarism should consult the course instructor for guidance before formally submitting the course work involved.</w:t>
      </w:r>
    </w:p>
    <w:p w14:paraId="285F8D23" w14:textId="77777777" w:rsidR="004519AA" w:rsidRPr="000E6B32" w:rsidRDefault="004519AA" w:rsidP="004519AA">
      <w:pPr>
        <w:pStyle w:val="Heading3"/>
        <w:rPr>
          <w:rFonts w:ascii="Garamond" w:hAnsi="Garamond"/>
        </w:rPr>
      </w:pPr>
      <w:r w:rsidRPr="000E6B32">
        <w:rPr>
          <w:rFonts w:ascii="Garamond" w:hAnsi="Garamond"/>
        </w:rPr>
        <w:t xml:space="preserve">Incompletes </w:t>
      </w:r>
    </w:p>
    <w:p w14:paraId="74B63F32" w14:textId="77777777" w:rsidR="004519AA" w:rsidRPr="000E6B32" w:rsidRDefault="004519AA" w:rsidP="004519AA">
      <w:pPr>
        <w:rPr>
          <w:rFonts w:ascii="Garamond" w:hAnsi="Garamond"/>
        </w:rPr>
      </w:pPr>
      <w:r w:rsidRPr="000E6B32">
        <w:rPr>
          <w:rFonts w:ascii="Garamond" w:hAnsi="Garamond"/>
        </w:rPr>
        <w:t xml:space="preserve">Incomplete grades may only be awarded if a student is doing satisfactory work up until the last two weeks of the quarter and has furnished proof satisfactory to the instructor that the work cannot be completed because of illness or other circumstances beyond the student’s control. </w:t>
      </w:r>
      <w:r w:rsidRPr="000E6B32">
        <w:rPr>
          <w:rFonts w:ascii="Garamond" w:hAnsi="Garamond"/>
          <w:i/>
        </w:rPr>
        <w:t xml:space="preserve">(Sources: </w:t>
      </w:r>
      <w:hyperlink r:id="rId12" w:history="1">
        <w:r w:rsidRPr="000E6B32">
          <w:rPr>
            <w:rStyle w:val="Hyperlink"/>
            <w:rFonts w:ascii="Garamond" w:hAnsi="Garamond"/>
            <w:i/>
          </w:rPr>
          <w:t>Office of the Registrar – Incomplete Grades</w:t>
        </w:r>
      </w:hyperlink>
      <w:r w:rsidRPr="000E6B32">
        <w:rPr>
          <w:rFonts w:ascii="Garamond" w:hAnsi="Garamond"/>
          <w:i/>
        </w:rPr>
        <w:t xml:space="preserve">), </w:t>
      </w:r>
      <w:hyperlink r:id="rId13" w:history="1">
        <w:r w:rsidRPr="000E6B32">
          <w:rPr>
            <w:rStyle w:val="Hyperlink"/>
            <w:rFonts w:ascii="Garamond" w:hAnsi="Garamond"/>
            <w:i/>
          </w:rPr>
          <w:t>UW General Catalog, Student Guide – Grading System</w:t>
        </w:r>
      </w:hyperlink>
      <w:r w:rsidRPr="000E6B32">
        <w:rPr>
          <w:rFonts w:ascii="Garamond" w:hAnsi="Garamond"/>
          <w:i/>
        </w:rPr>
        <w:t xml:space="preserve">) </w:t>
      </w:r>
    </w:p>
    <w:p w14:paraId="0EA345F2" w14:textId="77777777" w:rsidR="004519AA" w:rsidRPr="000E6B32" w:rsidRDefault="004519AA" w:rsidP="004519AA">
      <w:pPr>
        <w:pStyle w:val="Heading3"/>
        <w:rPr>
          <w:rFonts w:ascii="Garamond" w:hAnsi="Garamond"/>
        </w:rPr>
      </w:pPr>
      <w:r w:rsidRPr="000E6B32">
        <w:rPr>
          <w:rFonts w:ascii="Garamond" w:hAnsi="Garamond"/>
        </w:rPr>
        <w:t>Grade Appeal Procedure</w:t>
      </w:r>
    </w:p>
    <w:p w14:paraId="28BF143B" w14:textId="77777777" w:rsidR="004519AA" w:rsidRPr="000E6B32" w:rsidRDefault="004519AA" w:rsidP="004519AA">
      <w:pPr>
        <w:rPr>
          <w:rFonts w:ascii="Garamond" w:hAnsi="Garamond"/>
        </w:rPr>
      </w:pPr>
      <w:r w:rsidRPr="000E6B32">
        <w:rPr>
          <w:rFonts w:ascii="Garamond" w:hAnsi="Garamond"/>
        </w:rPr>
        <w:t xml:space="preserve">A student who believes that the instructor erred in the assignment of a grade, or who believes a grade recoding error or omission has occurred, shall first discuss the matter with the instructor before the end of the following academic quarter (not including Summer Quarter). If the student is not satisfied with the instructor’s explanation, the student, no later than ten days after their discussion with the instructor, may submit a written appeal to the chair of the Department of Philosophy with a copy of the appeal also sent to the instructor. The chair consults with the instructor to ensure that the evaluation of the student’s performance has not been arbitrary or capricious. Should the chair believe the instructor’s conduct to be arbitrary or capricious and the instructor declines to revise the grade, the chair, with the approval of the voting members of his or her faculty, shall appoint an appropriate member, or members, of the faculty of the Department of Philosophy to evaluate the performance of the student and assign a grade. The Dean and Provost should be informed of this action. Once a student submits a written appeal, this document and all subsequent actions on this appeal are recorded in written form for deposit in a </w:t>
      </w:r>
      <w:proofErr w:type="gramStart"/>
      <w:r w:rsidRPr="000E6B32">
        <w:rPr>
          <w:rFonts w:ascii="Garamond" w:hAnsi="Garamond"/>
        </w:rPr>
        <w:t>School</w:t>
      </w:r>
      <w:proofErr w:type="gramEnd"/>
      <w:r w:rsidRPr="000E6B32">
        <w:rPr>
          <w:rFonts w:ascii="Garamond" w:hAnsi="Garamond"/>
        </w:rPr>
        <w:t xml:space="preserve"> file</w:t>
      </w:r>
      <w:r w:rsidRPr="000E6B32">
        <w:rPr>
          <w:rFonts w:ascii="Garamond" w:hAnsi="Garamond"/>
          <w:i/>
        </w:rPr>
        <w:t xml:space="preserve">. (Source: </w:t>
      </w:r>
      <w:hyperlink r:id="rId14" w:history="1">
        <w:r w:rsidRPr="000E6B32">
          <w:rPr>
            <w:rStyle w:val="Hyperlink"/>
            <w:rFonts w:ascii="Garamond" w:hAnsi="Garamond"/>
            <w:i/>
          </w:rPr>
          <w:t>UW General Catalog, Student Guide – Grading System</w:t>
        </w:r>
      </w:hyperlink>
      <w:r w:rsidRPr="000E6B32">
        <w:rPr>
          <w:rFonts w:ascii="Garamond" w:hAnsi="Garamond"/>
          <w:i/>
        </w:rPr>
        <w:t>)</w:t>
      </w:r>
    </w:p>
    <w:p w14:paraId="4577E191" w14:textId="77777777" w:rsidR="004519AA" w:rsidRPr="000E6B32" w:rsidRDefault="004519AA" w:rsidP="004519AA">
      <w:pPr>
        <w:pStyle w:val="Heading3"/>
        <w:rPr>
          <w:rFonts w:ascii="Garamond" w:hAnsi="Garamond"/>
        </w:rPr>
      </w:pPr>
      <w:r w:rsidRPr="000E6B32">
        <w:rPr>
          <w:rFonts w:ascii="Garamond" w:hAnsi="Garamond"/>
        </w:rPr>
        <w:t xml:space="preserve">Concerns About a Course, an </w:t>
      </w:r>
      <w:proofErr w:type="gramStart"/>
      <w:r w:rsidRPr="000E6B32">
        <w:rPr>
          <w:rFonts w:ascii="Garamond" w:hAnsi="Garamond"/>
        </w:rPr>
        <w:t>Instructor</w:t>
      </w:r>
      <w:proofErr w:type="gramEnd"/>
      <w:r w:rsidRPr="000E6B32">
        <w:rPr>
          <w:rFonts w:ascii="Garamond" w:hAnsi="Garamond"/>
        </w:rPr>
        <w:t>, or a Teaching Assistant</w:t>
      </w:r>
    </w:p>
    <w:p w14:paraId="2315521E" w14:textId="77777777" w:rsidR="004519AA" w:rsidRPr="000E6B32" w:rsidRDefault="004519AA" w:rsidP="004519AA">
      <w:pPr>
        <w:spacing w:after="120"/>
        <w:rPr>
          <w:rFonts w:ascii="Garamond" w:hAnsi="Garamond"/>
        </w:rPr>
      </w:pPr>
      <w:r w:rsidRPr="000E6B32">
        <w:rPr>
          <w:rFonts w:ascii="Garamond" w:hAnsi="Garamond"/>
        </w:rPr>
        <w:t xml:space="preserve">If you have any concerns about a philosophy course or your instructor, please see the instructor about these concerns as soon as possible. If you are not comfortable talking with the instructor or not satisfied with the response that you receive, you may contact the chair of the program offering the course (names available from the Department of Philosophy, 361 </w:t>
      </w:r>
      <w:proofErr w:type="spellStart"/>
      <w:r w:rsidRPr="000E6B32">
        <w:rPr>
          <w:rFonts w:ascii="Garamond" w:hAnsi="Garamond"/>
        </w:rPr>
        <w:t>Savery</w:t>
      </w:r>
      <w:proofErr w:type="spellEnd"/>
      <w:r w:rsidRPr="000E6B32">
        <w:rPr>
          <w:rFonts w:ascii="Garamond" w:hAnsi="Garamond"/>
        </w:rPr>
        <w:t xml:space="preserve"> Hall).</w:t>
      </w:r>
    </w:p>
    <w:p w14:paraId="03FC0598" w14:textId="77777777" w:rsidR="004519AA" w:rsidRPr="000E6B32" w:rsidRDefault="004519AA" w:rsidP="004519AA">
      <w:pPr>
        <w:rPr>
          <w:rFonts w:ascii="Garamond" w:hAnsi="Garamond"/>
        </w:rPr>
      </w:pPr>
      <w:r w:rsidRPr="000E6B32">
        <w:rPr>
          <w:rFonts w:ascii="Garamond" w:hAnsi="Garamond"/>
        </w:rPr>
        <w:t xml:space="preserve">If you have any concerns about a teaching assistant, please see the teaching assistant about these concerns as soon as possible. If you are not comfortable talking with the teaching assistant or not satisfied with the response that you receive, you may contact the instructor in charge of the course. If you are still not satisfied with the response that you receive, you may contact the chair of the program offering the course (names available from the Department of Philosophy, 361 </w:t>
      </w:r>
      <w:proofErr w:type="spellStart"/>
      <w:r w:rsidRPr="000E6B32">
        <w:rPr>
          <w:rFonts w:ascii="Garamond" w:hAnsi="Garamond"/>
        </w:rPr>
        <w:t>Savery</w:t>
      </w:r>
      <w:proofErr w:type="spellEnd"/>
      <w:r w:rsidRPr="000E6B32">
        <w:rPr>
          <w:rFonts w:ascii="Garamond" w:hAnsi="Garamond"/>
        </w:rPr>
        <w:t xml:space="preserve"> Hall), or the Graduate School at G-1 Communications Building (543-5900).</w:t>
      </w:r>
    </w:p>
    <w:p w14:paraId="766F50A3" w14:textId="77777777" w:rsidR="004519AA" w:rsidRPr="000E6B32" w:rsidRDefault="004519AA" w:rsidP="004519AA">
      <w:pPr>
        <w:pStyle w:val="Heading3"/>
        <w:rPr>
          <w:rFonts w:ascii="Garamond" w:hAnsi="Garamond"/>
        </w:rPr>
      </w:pPr>
      <w:r w:rsidRPr="000E6B32">
        <w:rPr>
          <w:rFonts w:ascii="Garamond" w:hAnsi="Garamond"/>
        </w:rPr>
        <w:lastRenderedPageBreak/>
        <w:t>Equal Opportunity</w:t>
      </w:r>
    </w:p>
    <w:p w14:paraId="277574CD" w14:textId="77777777" w:rsidR="004519AA" w:rsidRPr="000E6B32" w:rsidRDefault="004519AA" w:rsidP="004519AA">
      <w:pPr>
        <w:rPr>
          <w:rFonts w:ascii="Garamond" w:hAnsi="Garamond"/>
        </w:rPr>
      </w:pPr>
      <w:r w:rsidRPr="000E6B32">
        <w:rPr>
          <w:rFonts w:ascii="Garamond" w:hAnsi="Garamond"/>
        </w:rPr>
        <w:t>The University of Washington reaffirms its policy of equal opportunity regardless of race, color, creed, religion, national origin, sex, sexual orientation, age, marital status, disability, or status as a disabled veteran or Vietnam-era veteran in accordance with University of Washington policy and applicable federal and state statutes and regulations.</w:t>
      </w:r>
    </w:p>
    <w:p w14:paraId="600EB26A" w14:textId="77777777" w:rsidR="004519AA" w:rsidRPr="000E6B32" w:rsidRDefault="004519AA" w:rsidP="004519AA">
      <w:pPr>
        <w:pStyle w:val="Heading3"/>
        <w:rPr>
          <w:rFonts w:ascii="Garamond" w:hAnsi="Garamond"/>
        </w:rPr>
      </w:pPr>
      <w:r w:rsidRPr="000E6B32">
        <w:rPr>
          <w:rFonts w:ascii="Garamond" w:hAnsi="Garamond"/>
        </w:rPr>
        <w:t>Access and Accommodations</w:t>
      </w:r>
    </w:p>
    <w:p w14:paraId="2EDF7376" w14:textId="77777777" w:rsidR="004519AA" w:rsidRPr="000E6B32" w:rsidRDefault="004519AA" w:rsidP="004519AA">
      <w:pPr>
        <w:spacing w:after="240"/>
        <w:rPr>
          <w:rFonts w:ascii="Garamond" w:hAnsi="Garamond"/>
        </w:rPr>
      </w:pPr>
      <w:r w:rsidRPr="000E6B32">
        <w:rPr>
          <w:rFonts w:ascii="Garamond" w:hAnsi="Garamond"/>
        </w:rPr>
        <w:t>Your experience in this class is important to the instructor. If you have already established accommodations with Disability Resources for Students (DRS), please communicate your approved accommodations to the instructor at your earliest convenience so you can discuss your needs in this course.</w:t>
      </w:r>
    </w:p>
    <w:p w14:paraId="4D5D3F5F" w14:textId="77777777" w:rsidR="004519AA" w:rsidRPr="000E6B32" w:rsidRDefault="004519AA" w:rsidP="004519AA">
      <w:pPr>
        <w:spacing w:after="240"/>
        <w:rPr>
          <w:rFonts w:ascii="Garamond" w:hAnsi="Garamond"/>
        </w:rPr>
      </w:pPr>
      <w:r w:rsidRPr="000E6B32">
        <w:rPr>
          <w:rFonts w:ascii="Garamond" w:hAnsi="Garamond"/>
        </w:rPr>
        <w:t xml:space="preserve">If you have not yet established services through DRS, but have a temporary health condition or permanent disability that requires accommodations (conditions include but are not limited to: mental health, attention-related, learning, vision, hearing, physical or health impacts), you are welcome to contact DRS at 206-543-8924 (Voice &amp; Relay) or </w:t>
      </w:r>
      <w:hyperlink r:id="rId15" w:history="1">
        <w:r w:rsidRPr="000E6B32">
          <w:rPr>
            <w:rStyle w:val="Hyperlink"/>
            <w:rFonts w:ascii="Garamond" w:hAnsi="Garamond"/>
          </w:rPr>
          <w:t>uwdrs@uw.edu</w:t>
        </w:r>
      </w:hyperlink>
      <w:r w:rsidRPr="000E6B32">
        <w:rPr>
          <w:rFonts w:ascii="Garamond" w:hAnsi="Garamond"/>
        </w:rPr>
        <w:t xml:space="preserve"> or </w:t>
      </w:r>
      <w:hyperlink r:id="rId16" w:history="1">
        <w:r w:rsidRPr="000E6B32">
          <w:rPr>
            <w:rStyle w:val="Hyperlink"/>
            <w:rFonts w:ascii="Garamond" w:hAnsi="Garamond"/>
          </w:rPr>
          <w:t>disability.uw.edu. </w:t>
        </w:r>
      </w:hyperlink>
      <w:r w:rsidRPr="000E6B32">
        <w:rPr>
          <w:rFonts w:ascii="Garamond" w:hAnsi="Garamond"/>
        </w:rPr>
        <w:t>DRS offers resources and coordinates reasonable accommodations for students with disabilities and/or temporary health conditions. Reasonable accommodations are established through an interactive process between you, your instructor(s</w:t>
      </w:r>
      <w:proofErr w:type="gramStart"/>
      <w:r w:rsidRPr="000E6B32">
        <w:rPr>
          <w:rFonts w:ascii="Garamond" w:hAnsi="Garamond"/>
        </w:rPr>
        <w:t>)</w:t>
      </w:r>
      <w:proofErr w:type="gramEnd"/>
      <w:r w:rsidRPr="000E6B32">
        <w:rPr>
          <w:rFonts w:ascii="Garamond" w:hAnsi="Garamond"/>
        </w:rPr>
        <w:t xml:space="preserve"> and DRS. It is the policy and practice of the University of Washington to create inclusive and accessible learning environments consistent with federal and state law.</w:t>
      </w:r>
    </w:p>
    <w:p w14:paraId="0D55009F" w14:textId="77777777" w:rsidR="004519AA" w:rsidRPr="000E6B32" w:rsidRDefault="004519AA" w:rsidP="004519AA">
      <w:pPr>
        <w:pStyle w:val="Heading3"/>
        <w:rPr>
          <w:rFonts w:ascii="Garamond" w:hAnsi="Garamond"/>
        </w:rPr>
      </w:pPr>
      <w:r w:rsidRPr="000E6B32">
        <w:rPr>
          <w:rFonts w:ascii="Garamond" w:hAnsi="Garamond"/>
        </w:rPr>
        <w:t>Sexual Harassment</w:t>
      </w:r>
    </w:p>
    <w:p w14:paraId="110596D3" w14:textId="77777777" w:rsidR="004519AA" w:rsidRPr="000E6B32" w:rsidRDefault="004519AA" w:rsidP="004519AA">
      <w:pPr>
        <w:spacing w:after="120"/>
        <w:rPr>
          <w:rFonts w:ascii="Garamond" w:hAnsi="Garamond"/>
        </w:rPr>
      </w:pPr>
      <w:r w:rsidRPr="000E6B32">
        <w:rPr>
          <w:rFonts w:ascii="Garamond" w:hAnsi="Garamond"/>
        </w:rPr>
        <w:t xml:space="preserve">Sexual harassment is defined as the use of one’s authority or power, either explicitly or implicitly, to coerce another into unwanted sexual relations or to punish another for his or her refusal, or as the creation by a member of the University community of an intimidating, hostile, or offensive working or educational environment through verbal or physical conduct of a sexual nature. </w:t>
      </w:r>
    </w:p>
    <w:p w14:paraId="1E77E5EF" w14:textId="6EAA33FE" w:rsidR="004519AA" w:rsidRPr="000E6B32" w:rsidRDefault="004519AA" w:rsidP="004519AA">
      <w:pPr>
        <w:rPr>
          <w:rFonts w:ascii="Garamond" w:hAnsi="Garamond"/>
        </w:rPr>
      </w:pPr>
      <w:r w:rsidRPr="000E6B32">
        <w:rPr>
          <w:rFonts w:ascii="Garamond" w:hAnsi="Garamond"/>
        </w:rPr>
        <w:t xml:space="preserve">If you believe that you are being harassed, seek help—the earlier the better. You may speak with your instructor, your teaching assistant, the undergraduate advisor (363 </w:t>
      </w:r>
      <w:proofErr w:type="spellStart"/>
      <w:r w:rsidRPr="000E6B32">
        <w:rPr>
          <w:rFonts w:ascii="Garamond" w:hAnsi="Garamond"/>
        </w:rPr>
        <w:t>Savery</w:t>
      </w:r>
      <w:proofErr w:type="spellEnd"/>
      <w:r w:rsidRPr="000E6B32">
        <w:rPr>
          <w:rFonts w:ascii="Garamond" w:hAnsi="Garamond"/>
        </w:rPr>
        <w:t xml:space="preserve"> Hall), graduate program advisor (366 </w:t>
      </w:r>
      <w:proofErr w:type="spellStart"/>
      <w:r w:rsidRPr="000E6B32">
        <w:rPr>
          <w:rFonts w:ascii="Garamond" w:hAnsi="Garamond"/>
        </w:rPr>
        <w:t>Savery</w:t>
      </w:r>
      <w:proofErr w:type="spellEnd"/>
      <w:r w:rsidRPr="000E6B32">
        <w:rPr>
          <w:rFonts w:ascii="Garamond" w:hAnsi="Garamond"/>
        </w:rPr>
        <w:t xml:space="preserve"> Hall), or the chair of the philosophy department (364 </w:t>
      </w:r>
      <w:proofErr w:type="spellStart"/>
      <w:r w:rsidRPr="000E6B32">
        <w:rPr>
          <w:rFonts w:ascii="Garamond" w:hAnsi="Garamond"/>
        </w:rPr>
        <w:t>Savery</w:t>
      </w:r>
      <w:proofErr w:type="spellEnd"/>
      <w:r w:rsidRPr="000E6B32">
        <w:rPr>
          <w:rFonts w:ascii="Garamond" w:hAnsi="Garamond"/>
        </w:rPr>
        <w:t xml:space="preserve"> Hall). In addition, you should be aware that the University has designated special people to help you. For assistance you may contact: </w:t>
      </w:r>
      <w:hyperlink w:anchor="_UW_SafeCampus" w:history="1">
        <w:proofErr w:type="spellStart"/>
        <w:r w:rsidRPr="000E6B32">
          <w:rPr>
            <w:rStyle w:val="Hyperlink"/>
            <w:rFonts w:ascii="Garamond" w:hAnsi="Garamond"/>
          </w:rPr>
          <w:t>SafeCampus</w:t>
        </w:r>
        <w:proofErr w:type="spellEnd"/>
      </w:hyperlink>
      <w:r w:rsidRPr="000E6B32">
        <w:rPr>
          <w:rFonts w:ascii="Garamond" w:hAnsi="Garamond"/>
        </w:rPr>
        <w:t>;</w:t>
      </w:r>
      <w:r w:rsidR="001E19CE" w:rsidRPr="000E6B32">
        <w:rPr>
          <w:rFonts w:ascii="Garamond" w:hAnsi="Garamond"/>
        </w:rPr>
        <w:t xml:space="preserve"> </w:t>
      </w:r>
      <w:hyperlink r:id="rId17" w:history="1">
        <w:r w:rsidRPr="000E6B32">
          <w:rPr>
            <w:rStyle w:val="Hyperlink"/>
            <w:rFonts w:ascii="Garamond" w:hAnsi="Garamond"/>
          </w:rPr>
          <w:t>Office of the Ombud</w:t>
        </w:r>
      </w:hyperlink>
      <w:r w:rsidRPr="000E6B32">
        <w:rPr>
          <w:rFonts w:ascii="Garamond" w:hAnsi="Garamond"/>
        </w:rPr>
        <w:t xml:space="preserve"> (339 HUB, 206-543-6028); </w:t>
      </w:r>
      <w:hyperlink r:id="rId18" w:history="1">
        <w:r w:rsidRPr="000E6B32">
          <w:rPr>
            <w:rStyle w:val="Hyperlink"/>
            <w:rFonts w:ascii="Garamond" w:hAnsi="Garamond"/>
          </w:rPr>
          <w:t>Title IX Investigation Office</w:t>
        </w:r>
      </w:hyperlink>
      <w:r w:rsidRPr="000E6B32">
        <w:rPr>
          <w:rFonts w:ascii="Garamond" w:hAnsi="Garamond"/>
        </w:rPr>
        <w:t xml:space="preserve"> (for complaints that a University student has violated the sexual misconduct provisions of the Student Conduct Code); </w:t>
      </w:r>
      <w:hyperlink r:id="rId19" w:history="1">
        <w:r w:rsidRPr="000E6B32">
          <w:rPr>
            <w:rStyle w:val="Hyperlink"/>
            <w:rFonts w:ascii="Garamond" w:hAnsi="Garamond"/>
          </w:rPr>
          <w:t>University Complaint Investigation and Resolution Office</w:t>
        </w:r>
      </w:hyperlink>
      <w:r w:rsidRPr="000E6B32">
        <w:rPr>
          <w:rFonts w:ascii="Garamond" w:hAnsi="Garamond"/>
        </w:rPr>
        <w:t xml:space="preserve"> (for complaints concerning the behavior of University employees, including faculty, teaching assistants, and other student employees).</w:t>
      </w:r>
    </w:p>
    <w:p w14:paraId="78BCCE06" w14:textId="77777777" w:rsidR="004519AA" w:rsidRPr="000E6B32" w:rsidRDefault="004519AA" w:rsidP="004519AA">
      <w:pPr>
        <w:pStyle w:val="Heading3"/>
        <w:rPr>
          <w:rFonts w:ascii="Garamond" w:hAnsi="Garamond"/>
        </w:rPr>
      </w:pPr>
      <w:r w:rsidRPr="000E6B32">
        <w:rPr>
          <w:rFonts w:ascii="Garamond" w:hAnsi="Garamond"/>
        </w:rPr>
        <w:t>Integrity</w:t>
      </w:r>
    </w:p>
    <w:p w14:paraId="7E38B1F7" w14:textId="77777777" w:rsidR="004519AA" w:rsidRPr="000E6B32" w:rsidRDefault="004519AA" w:rsidP="004519AA">
      <w:pPr>
        <w:spacing w:after="120"/>
        <w:rPr>
          <w:rFonts w:ascii="Garamond" w:hAnsi="Garamond"/>
        </w:rPr>
      </w:pPr>
      <w:r w:rsidRPr="000E6B32">
        <w:rPr>
          <w:rFonts w:ascii="Garamond" w:hAnsi="Garamond"/>
        </w:rPr>
        <w:t>The Office of Research Misconduct Proceedings (ORMP) coordinates the University’s handling of allegations of research misconduct against members of the University community, in consultations and cooperation with the University’s schools, colleges, and campuses.</w:t>
      </w:r>
    </w:p>
    <w:p w14:paraId="60103F40" w14:textId="77777777" w:rsidR="004519AA" w:rsidRPr="000E6B32" w:rsidRDefault="004519AA" w:rsidP="004519AA">
      <w:pPr>
        <w:spacing w:after="120"/>
        <w:rPr>
          <w:rFonts w:ascii="Garamond" w:hAnsi="Garamond"/>
        </w:rPr>
      </w:pPr>
      <w:r w:rsidRPr="000E6B32">
        <w:rPr>
          <w:rFonts w:ascii="Garamond" w:hAnsi="Garamond"/>
        </w:rPr>
        <w:t xml:space="preserve">University rules define scientific and scholarly misconduct to include the following forms of inappropriate activity: intentional misrepresentation of credentials; falsification of data; plagiarism; abuse of confidentiality; deliberate violation of regulations applicable to research. </w:t>
      </w:r>
    </w:p>
    <w:p w14:paraId="6A575117" w14:textId="77777777" w:rsidR="004519AA" w:rsidRPr="000E6B32" w:rsidRDefault="004519AA" w:rsidP="004519AA">
      <w:pPr>
        <w:spacing w:after="120"/>
        <w:rPr>
          <w:rFonts w:ascii="Garamond" w:hAnsi="Garamond"/>
        </w:rPr>
      </w:pPr>
      <w:r w:rsidRPr="000E6B32">
        <w:rPr>
          <w:rFonts w:ascii="Garamond" w:hAnsi="Garamond"/>
        </w:rPr>
        <w:lastRenderedPageBreak/>
        <w:t xml:space="preserve">Students can report cases of scientific or scholarly misconduct either to the ORMP, to their faculty adviser, or the department chair. The student should report such problems to whomever he or she feels most comfortable. </w:t>
      </w:r>
    </w:p>
    <w:p w14:paraId="32CECD34" w14:textId="77777777" w:rsidR="004519AA" w:rsidRPr="000E6B32" w:rsidRDefault="004519AA" w:rsidP="004519AA">
      <w:pPr>
        <w:rPr>
          <w:rFonts w:ascii="Garamond" w:hAnsi="Garamond"/>
          <w:i/>
        </w:rPr>
      </w:pPr>
      <w:r w:rsidRPr="000E6B32">
        <w:rPr>
          <w:rFonts w:ascii="Garamond" w:hAnsi="Garamond"/>
          <w:i/>
        </w:rPr>
        <w:t xml:space="preserve">(Sources: </w:t>
      </w:r>
      <w:hyperlink r:id="rId20" w:history="1">
        <w:r w:rsidRPr="000E6B32">
          <w:rPr>
            <w:rStyle w:val="Hyperlink"/>
            <w:rFonts w:ascii="Garamond" w:hAnsi="Garamond"/>
            <w:i/>
            <w:iCs/>
          </w:rPr>
          <w:t>Executive Order No. 61 – Research Misconduct Policy</w:t>
        </w:r>
      </w:hyperlink>
      <w:r w:rsidRPr="000E6B32">
        <w:rPr>
          <w:rFonts w:ascii="Garamond" w:hAnsi="Garamond"/>
          <w:i/>
          <w:iCs/>
        </w:rPr>
        <w:t xml:space="preserve">; </w:t>
      </w:r>
      <w:hyperlink r:id="rId21" w:history="1">
        <w:r w:rsidRPr="000E6B32">
          <w:rPr>
            <w:rStyle w:val="Hyperlink"/>
            <w:rFonts w:ascii="Garamond" w:hAnsi="Garamond"/>
            <w:i/>
            <w:iCs/>
          </w:rPr>
          <w:t>Office of Research Misconduct Proceedings</w:t>
        </w:r>
      </w:hyperlink>
      <w:r w:rsidRPr="000E6B32">
        <w:rPr>
          <w:rFonts w:ascii="Garamond" w:hAnsi="Garamond"/>
          <w:i/>
          <w:iCs/>
        </w:rPr>
        <w:t>;</w:t>
      </w:r>
      <w:r w:rsidRPr="000E6B32">
        <w:rPr>
          <w:rFonts w:ascii="Garamond" w:hAnsi="Garamond"/>
          <w:i/>
        </w:rPr>
        <w:t xml:space="preserve"> minutes of Grad School Executive Staff and Division Heads meeting, 7/23/98.)</w:t>
      </w:r>
    </w:p>
    <w:p w14:paraId="42A3024E" w14:textId="77777777" w:rsidR="004519AA" w:rsidRPr="000E6B32" w:rsidRDefault="004519AA" w:rsidP="004519AA">
      <w:pPr>
        <w:pStyle w:val="Heading3"/>
        <w:rPr>
          <w:rFonts w:ascii="Garamond" w:hAnsi="Garamond"/>
        </w:rPr>
      </w:pPr>
      <w:bookmarkStart w:id="0" w:name="_UW_SafeCampus"/>
      <w:bookmarkEnd w:id="0"/>
      <w:proofErr w:type="spellStart"/>
      <w:r w:rsidRPr="000E6B32">
        <w:rPr>
          <w:rFonts w:ascii="Garamond" w:hAnsi="Garamond"/>
        </w:rPr>
        <w:t>SafeCampus</w:t>
      </w:r>
      <w:proofErr w:type="spellEnd"/>
    </w:p>
    <w:p w14:paraId="029C4FF1" w14:textId="77777777" w:rsidR="004519AA" w:rsidRPr="000E6B32" w:rsidRDefault="004519AA" w:rsidP="004519AA">
      <w:pPr>
        <w:spacing w:after="120"/>
        <w:rPr>
          <w:rFonts w:ascii="Garamond" w:hAnsi="Garamond"/>
        </w:rPr>
      </w:pPr>
      <w:r w:rsidRPr="000E6B32">
        <w:rPr>
          <w:rFonts w:ascii="Garamond" w:hAnsi="Garamond"/>
        </w:rPr>
        <w:t xml:space="preserve">Preventing violence is everyone's responsibility. </w:t>
      </w:r>
      <w:proofErr w:type="spellStart"/>
      <w:r w:rsidRPr="000E6B32">
        <w:rPr>
          <w:rFonts w:ascii="Garamond" w:hAnsi="Garamond"/>
        </w:rPr>
        <w:t>SafeCampus</w:t>
      </w:r>
      <w:proofErr w:type="spellEnd"/>
      <w:r w:rsidRPr="000E6B32">
        <w:rPr>
          <w:rFonts w:ascii="Garamond" w:hAnsi="Garamond"/>
        </w:rPr>
        <w:t xml:space="preserve"> is the University of Washington’s Violence Prevention and Response Program. They support students, staff, faculty, and community members in preventing violence. </w:t>
      </w:r>
    </w:p>
    <w:p w14:paraId="41B38FB7" w14:textId="77777777" w:rsidR="004519AA" w:rsidRPr="000E6B32" w:rsidRDefault="004519AA" w:rsidP="004519AA">
      <w:pPr>
        <w:spacing w:after="120"/>
        <w:rPr>
          <w:rFonts w:ascii="Garamond" w:hAnsi="Garamond"/>
        </w:rPr>
      </w:pPr>
      <w:proofErr w:type="spellStart"/>
      <w:r w:rsidRPr="000E6B32">
        <w:rPr>
          <w:rFonts w:ascii="Garamond" w:hAnsi="Garamond"/>
        </w:rPr>
        <w:t>SafeCampus</w:t>
      </w:r>
      <w:proofErr w:type="spellEnd"/>
      <w:r w:rsidRPr="000E6B32">
        <w:rPr>
          <w:rFonts w:ascii="Garamond" w:hAnsi="Garamond"/>
        </w:rPr>
        <w:t xml:space="preserve"> staff will listen to your concerns and provide support and safety plans tailored to your situation. Caring, trained professionals will talk you through options and connect you with additional resources if you want them.</w:t>
      </w:r>
    </w:p>
    <w:p w14:paraId="209D3E0B" w14:textId="77777777" w:rsidR="004519AA" w:rsidRPr="000E6B32" w:rsidRDefault="004519AA" w:rsidP="004519AA">
      <w:pPr>
        <w:spacing w:after="120"/>
        <w:rPr>
          <w:rFonts w:ascii="Garamond" w:hAnsi="Garamond"/>
        </w:rPr>
      </w:pPr>
      <w:r w:rsidRPr="000E6B32">
        <w:rPr>
          <w:rFonts w:ascii="Garamond" w:hAnsi="Garamond"/>
        </w:rPr>
        <w:t xml:space="preserve">If </w:t>
      </w:r>
      <w:proofErr w:type="gramStart"/>
      <w:r w:rsidRPr="000E6B32">
        <w:rPr>
          <w:rFonts w:ascii="Garamond" w:hAnsi="Garamond"/>
        </w:rPr>
        <w:t>you're</w:t>
      </w:r>
      <w:proofErr w:type="gramEnd"/>
      <w:r w:rsidRPr="000E6B32">
        <w:rPr>
          <w:rFonts w:ascii="Garamond" w:hAnsi="Garamond"/>
        </w:rPr>
        <w:t xml:space="preserve"> concerned, tell someone.</w:t>
      </w:r>
    </w:p>
    <w:p w14:paraId="4B61FF51" w14:textId="77777777" w:rsidR="004519AA" w:rsidRPr="000E6B32" w:rsidRDefault="004519AA" w:rsidP="004519AA">
      <w:pPr>
        <w:pStyle w:val="ListParagraph"/>
        <w:numPr>
          <w:ilvl w:val="0"/>
          <w:numId w:val="1"/>
        </w:numPr>
        <w:rPr>
          <w:rFonts w:ascii="Garamond" w:hAnsi="Garamond"/>
        </w:rPr>
      </w:pPr>
      <w:r w:rsidRPr="000E6B32">
        <w:rPr>
          <w:rFonts w:ascii="Garamond" w:hAnsi="Garamond"/>
        </w:rPr>
        <w:t>Always call 911 if you or others may be in danger.</w:t>
      </w:r>
    </w:p>
    <w:p w14:paraId="098C9FAB" w14:textId="77777777" w:rsidR="004519AA" w:rsidRPr="000E6B32" w:rsidRDefault="004519AA" w:rsidP="004519AA">
      <w:pPr>
        <w:pStyle w:val="ListParagraph"/>
        <w:numPr>
          <w:ilvl w:val="0"/>
          <w:numId w:val="1"/>
        </w:numPr>
        <w:rPr>
          <w:rFonts w:ascii="Garamond" w:hAnsi="Garamond"/>
        </w:rPr>
      </w:pPr>
      <w:r w:rsidRPr="000E6B32">
        <w:rPr>
          <w:rFonts w:ascii="Garamond" w:hAnsi="Garamond"/>
        </w:rPr>
        <w:t>Call 206-685-SAFE (7233) to report non-urgent threats of violence and for referrals to UW counseling and/or safety resources. TTY or VP callers, please call through your preferred relay service.</w:t>
      </w:r>
    </w:p>
    <w:p w14:paraId="72D62368" w14:textId="77777777" w:rsidR="004519AA" w:rsidRPr="000E6B32" w:rsidRDefault="004519AA" w:rsidP="004519AA">
      <w:pPr>
        <w:pStyle w:val="ListParagraph"/>
        <w:numPr>
          <w:ilvl w:val="0"/>
          <w:numId w:val="1"/>
        </w:numPr>
        <w:rPr>
          <w:rFonts w:ascii="Garamond" w:hAnsi="Garamond"/>
        </w:rPr>
      </w:pPr>
      <w:proofErr w:type="gramStart"/>
      <w:r w:rsidRPr="000E6B32">
        <w:rPr>
          <w:rFonts w:ascii="Garamond" w:hAnsi="Garamond"/>
        </w:rPr>
        <w:t>Don't</w:t>
      </w:r>
      <w:proofErr w:type="gramEnd"/>
      <w:r w:rsidRPr="000E6B32">
        <w:rPr>
          <w:rFonts w:ascii="Garamond" w:hAnsi="Garamond"/>
        </w:rPr>
        <w:t xml:space="preserve"> walk alone. Campus safety guards can walk with you on campus after dark. Call Husky </w:t>
      </w:r>
      <w:proofErr w:type="spellStart"/>
      <w:r w:rsidRPr="000E6B32">
        <w:rPr>
          <w:rFonts w:ascii="Garamond" w:hAnsi="Garamond"/>
        </w:rPr>
        <w:t>NightWalk</w:t>
      </w:r>
      <w:proofErr w:type="spellEnd"/>
      <w:r w:rsidRPr="000E6B32">
        <w:rPr>
          <w:rFonts w:ascii="Garamond" w:hAnsi="Garamond"/>
        </w:rPr>
        <w:t xml:space="preserve"> 206-685-WALK (9255).</w:t>
      </w:r>
    </w:p>
    <w:p w14:paraId="1C194724" w14:textId="77777777" w:rsidR="004519AA" w:rsidRPr="000E6B32" w:rsidRDefault="004519AA" w:rsidP="004519AA">
      <w:pPr>
        <w:pStyle w:val="ListParagraph"/>
        <w:numPr>
          <w:ilvl w:val="0"/>
          <w:numId w:val="1"/>
        </w:numPr>
        <w:rPr>
          <w:rFonts w:ascii="Garamond" w:hAnsi="Garamond"/>
        </w:rPr>
      </w:pPr>
      <w:r w:rsidRPr="000E6B32">
        <w:rPr>
          <w:rFonts w:ascii="Garamond" w:hAnsi="Garamond"/>
        </w:rPr>
        <w:t xml:space="preserve">Stay connected in an emergency with UW Alert. Register your mobile number to receive instant notification of campus emergencies via text and voice messaging. </w:t>
      </w:r>
      <w:hyperlink r:id="rId22" w:history="1">
        <w:r w:rsidRPr="000E6B32">
          <w:rPr>
            <w:rStyle w:val="Hyperlink"/>
            <w:rFonts w:ascii="Garamond" w:hAnsi="Garamond"/>
          </w:rPr>
          <w:t>Sign up for UW Alert</w:t>
        </w:r>
      </w:hyperlink>
      <w:r w:rsidRPr="000E6B32">
        <w:rPr>
          <w:rFonts w:ascii="Garamond" w:hAnsi="Garamond"/>
        </w:rPr>
        <w:t xml:space="preserve"> online.</w:t>
      </w:r>
    </w:p>
    <w:p w14:paraId="1A29514C" w14:textId="10CAFB62" w:rsidR="001F0466" w:rsidRPr="000E6B32" w:rsidRDefault="004519AA" w:rsidP="004519AA">
      <w:pPr>
        <w:pStyle w:val="Body"/>
        <w:jc w:val="both"/>
        <w:rPr>
          <w:rFonts w:ascii="Garamond" w:hAnsi="Garamond"/>
        </w:rPr>
      </w:pPr>
      <w:r w:rsidRPr="000E6B32">
        <w:rPr>
          <w:rFonts w:ascii="Garamond" w:hAnsi="Garamond"/>
        </w:rPr>
        <w:t xml:space="preserve">For more information visit the </w:t>
      </w:r>
      <w:hyperlink r:id="rId23" w:history="1">
        <w:proofErr w:type="spellStart"/>
        <w:r w:rsidRPr="000E6B32">
          <w:rPr>
            <w:rStyle w:val="Hyperlink"/>
            <w:rFonts w:ascii="Garamond" w:hAnsi="Garamond"/>
          </w:rPr>
          <w:t>SafeCampus</w:t>
        </w:r>
        <w:proofErr w:type="spellEnd"/>
        <w:r w:rsidRPr="000E6B32">
          <w:rPr>
            <w:rStyle w:val="Hyperlink"/>
            <w:rFonts w:ascii="Garamond" w:hAnsi="Garamond"/>
          </w:rPr>
          <w:t xml:space="preserve"> website</w:t>
        </w:r>
      </w:hyperlink>
    </w:p>
    <w:sectPr w:rsidR="001F0466" w:rsidRPr="000E6B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C98B" w14:textId="77777777" w:rsidR="00146F40" w:rsidRDefault="00146F40">
      <w:r>
        <w:separator/>
      </w:r>
    </w:p>
  </w:endnote>
  <w:endnote w:type="continuationSeparator" w:id="0">
    <w:p w14:paraId="37BB767C" w14:textId="77777777" w:rsidR="00146F40" w:rsidRDefault="001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B8EB" w14:textId="77777777" w:rsidR="00146F40" w:rsidRDefault="00146F40">
      <w:r>
        <w:separator/>
      </w:r>
    </w:p>
  </w:footnote>
  <w:footnote w:type="continuationSeparator" w:id="0">
    <w:p w14:paraId="31062CD0" w14:textId="77777777" w:rsidR="00146F40" w:rsidRDefault="00146F40">
      <w:r>
        <w:continuationSeparator/>
      </w:r>
    </w:p>
  </w:footnote>
  <w:footnote w:id="1">
    <w:p w14:paraId="557D0105" w14:textId="1559E8FD" w:rsidR="007406EC" w:rsidRPr="00C66077" w:rsidRDefault="007406EC">
      <w:pPr>
        <w:pStyle w:val="FootnoteText"/>
        <w:rPr>
          <w:rFonts w:ascii="Garamond" w:hAnsi="Garamond"/>
        </w:rPr>
      </w:pPr>
      <w:r>
        <w:rPr>
          <w:rStyle w:val="FootnoteReference"/>
        </w:rPr>
        <w:footnoteRef/>
      </w:r>
      <w:r>
        <w:t xml:space="preserve"> </w:t>
      </w:r>
      <w:r w:rsidR="00C66077">
        <w:rPr>
          <w:rFonts w:ascii="Garamond" w:hAnsi="Garamond"/>
        </w:rPr>
        <w:t xml:space="preserve">Much thanks to </w:t>
      </w:r>
      <w:r w:rsidRPr="00C66077">
        <w:rPr>
          <w:rFonts w:ascii="Garamond" w:hAnsi="Garamond"/>
        </w:rPr>
        <w:t>Michael Ball-Blakely for</w:t>
      </w:r>
      <w:r w:rsidR="00602651">
        <w:rPr>
          <w:rFonts w:ascii="Garamond" w:hAnsi="Garamond"/>
        </w:rPr>
        <w:t xml:space="preserve"> the</w:t>
      </w:r>
      <w:r w:rsidRPr="00C66077">
        <w:rPr>
          <w:rFonts w:ascii="Garamond" w:hAnsi="Garamond"/>
        </w:rPr>
        <w:t xml:space="preserve"> significant assistance</w:t>
      </w:r>
      <w:r w:rsidR="00C66077">
        <w:rPr>
          <w:rFonts w:ascii="Garamond" w:hAnsi="Garamond"/>
        </w:rPr>
        <w:t xml:space="preserve"> and resources</w:t>
      </w:r>
      <w:r w:rsidRPr="00C66077">
        <w:rPr>
          <w:rFonts w:ascii="Garamond" w:hAnsi="Garamond"/>
        </w:rPr>
        <w:t xml:space="preserve"> he </w:t>
      </w:r>
      <w:r w:rsidR="00C66077">
        <w:rPr>
          <w:rFonts w:ascii="Garamond" w:hAnsi="Garamond"/>
        </w:rPr>
        <w:t xml:space="preserve">contributed to the design of this course. </w:t>
      </w:r>
      <w:r w:rsidRPr="00C66077">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6957"/>
    <w:multiLevelType w:val="multilevel"/>
    <w:tmpl w:val="FABA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3676"/>
    <w:multiLevelType w:val="hybridMultilevel"/>
    <w:tmpl w:val="66B0EA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56F7B"/>
    <w:multiLevelType w:val="multilevel"/>
    <w:tmpl w:val="3FA6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2504B"/>
    <w:multiLevelType w:val="hybridMultilevel"/>
    <w:tmpl w:val="2CA89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C55A2"/>
    <w:multiLevelType w:val="multilevel"/>
    <w:tmpl w:val="E81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64C69"/>
    <w:multiLevelType w:val="multilevel"/>
    <w:tmpl w:val="48D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56702"/>
    <w:multiLevelType w:val="multilevel"/>
    <w:tmpl w:val="F56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MzcztjQwNjcxNDZU0lEKTi0uzszPAykwrwUAsAf6yiwAAAA="/>
  </w:docVars>
  <w:rsids>
    <w:rsidRoot w:val="001F0466"/>
    <w:rsid w:val="00001AD3"/>
    <w:rsid w:val="00002C9F"/>
    <w:rsid w:val="000079E7"/>
    <w:rsid w:val="00011E94"/>
    <w:rsid w:val="0001248B"/>
    <w:rsid w:val="00025CC2"/>
    <w:rsid w:val="00063D7A"/>
    <w:rsid w:val="0008704F"/>
    <w:rsid w:val="000A4033"/>
    <w:rsid w:val="000A6D88"/>
    <w:rsid w:val="000C02DE"/>
    <w:rsid w:val="000C4F24"/>
    <w:rsid w:val="000E46F1"/>
    <w:rsid w:val="000E6B32"/>
    <w:rsid w:val="000F26DA"/>
    <w:rsid w:val="00102CD1"/>
    <w:rsid w:val="0011200F"/>
    <w:rsid w:val="00114CE5"/>
    <w:rsid w:val="00122550"/>
    <w:rsid w:val="00124D69"/>
    <w:rsid w:val="001412B6"/>
    <w:rsid w:val="00143FC0"/>
    <w:rsid w:val="00146F40"/>
    <w:rsid w:val="00157692"/>
    <w:rsid w:val="0015777D"/>
    <w:rsid w:val="001728D7"/>
    <w:rsid w:val="0017626C"/>
    <w:rsid w:val="00193A19"/>
    <w:rsid w:val="001A1DAB"/>
    <w:rsid w:val="001A35EE"/>
    <w:rsid w:val="001B1A95"/>
    <w:rsid w:val="001C29FA"/>
    <w:rsid w:val="001C79F8"/>
    <w:rsid w:val="001D1A1E"/>
    <w:rsid w:val="001D3162"/>
    <w:rsid w:val="001D64AF"/>
    <w:rsid w:val="001E19CE"/>
    <w:rsid w:val="001E58AE"/>
    <w:rsid w:val="001F0466"/>
    <w:rsid w:val="001F33F9"/>
    <w:rsid w:val="002023C5"/>
    <w:rsid w:val="00205FCA"/>
    <w:rsid w:val="002152E1"/>
    <w:rsid w:val="00225F95"/>
    <w:rsid w:val="00237A64"/>
    <w:rsid w:val="00240B18"/>
    <w:rsid w:val="00241489"/>
    <w:rsid w:val="002419BB"/>
    <w:rsid w:val="00250948"/>
    <w:rsid w:val="00260198"/>
    <w:rsid w:val="0028107E"/>
    <w:rsid w:val="00287D92"/>
    <w:rsid w:val="00292148"/>
    <w:rsid w:val="00294E87"/>
    <w:rsid w:val="002A68A1"/>
    <w:rsid w:val="002B53AE"/>
    <w:rsid w:val="002C2B76"/>
    <w:rsid w:val="002C3471"/>
    <w:rsid w:val="002D016B"/>
    <w:rsid w:val="002F03B2"/>
    <w:rsid w:val="00301C17"/>
    <w:rsid w:val="0031281E"/>
    <w:rsid w:val="00316827"/>
    <w:rsid w:val="00317FAB"/>
    <w:rsid w:val="003208B2"/>
    <w:rsid w:val="00335001"/>
    <w:rsid w:val="00351AA4"/>
    <w:rsid w:val="003624BE"/>
    <w:rsid w:val="00362CE7"/>
    <w:rsid w:val="00363248"/>
    <w:rsid w:val="00363D8F"/>
    <w:rsid w:val="003663AF"/>
    <w:rsid w:val="00373A4D"/>
    <w:rsid w:val="00376CCD"/>
    <w:rsid w:val="00381D61"/>
    <w:rsid w:val="00383F3E"/>
    <w:rsid w:val="00385BFB"/>
    <w:rsid w:val="00386C1A"/>
    <w:rsid w:val="00390576"/>
    <w:rsid w:val="003963C1"/>
    <w:rsid w:val="003C4970"/>
    <w:rsid w:val="003C4FE3"/>
    <w:rsid w:val="003C79A4"/>
    <w:rsid w:val="003D0F73"/>
    <w:rsid w:val="003D274B"/>
    <w:rsid w:val="003D623A"/>
    <w:rsid w:val="003E74DC"/>
    <w:rsid w:val="003F2117"/>
    <w:rsid w:val="003F2EE7"/>
    <w:rsid w:val="004067C0"/>
    <w:rsid w:val="00411D7D"/>
    <w:rsid w:val="004218E5"/>
    <w:rsid w:val="00422233"/>
    <w:rsid w:val="00431333"/>
    <w:rsid w:val="00433224"/>
    <w:rsid w:val="00436223"/>
    <w:rsid w:val="004401FB"/>
    <w:rsid w:val="004454A1"/>
    <w:rsid w:val="00446624"/>
    <w:rsid w:val="004504DF"/>
    <w:rsid w:val="00451445"/>
    <w:rsid w:val="004519AA"/>
    <w:rsid w:val="00456494"/>
    <w:rsid w:val="004751E7"/>
    <w:rsid w:val="00475AC2"/>
    <w:rsid w:val="00476132"/>
    <w:rsid w:val="00476796"/>
    <w:rsid w:val="004956B9"/>
    <w:rsid w:val="004A1BF3"/>
    <w:rsid w:val="004B0CFF"/>
    <w:rsid w:val="004B1043"/>
    <w:rsid w:val="004D6D2C"/>
    <w:rsid w:val="004E56AD"/>
    <w:rsid w:val="004F14D7"/>
    <w:rsid w:val="004F34D1"/>
    <w:rsid w:val="00501FC3"/>
    <w:rsid w:val="00504BC6"/>
    <w:rsid w:val="005119CF"/>
    <w:rsid w:val="00511E83"/>
    <w:rsid w:val="00522065"/>
    <w:rsid w:val="00524822"/>
    <w:rsid w:val="00525C34"/>
    <w:rsid w:val="00534A01"/>
    <w:rsid w:val="00536F12"/>
    <w:rsid w:val="00565484"/>
    <w:rsid w:val="00577186"/>
    <w:rsid w:val="00584D76"/>
    <w:rsid w:val="00596DFA"/>
    <w:rsid w:val="005A6DB7"/>
    <w:rsid w:val="005B10A4"/>
    <w:rsid w:val="005B144C"/>
    <w:rsid w:val="005B7B0D"/>
    <w:rsid w:val="005C1EA4"/>
    <w:rsid w:val="005C4BBF"/>
    <w:rsid w:val="005C7FE5"/>
    <w:rsid w:val="005D6715"/>
    <w:rsid w:val="005E1FD4"/>
    <w:rsid w:val="005F30D3"/>
    <w:rsid w:val="005F4480"/>
    <w:rsid w:val="005F6AF2"/>
    <w:rsid w:val="005F76FD"/>
    <w:rsid w:val="00601FC4"/>
    <w:rsid w:val="006025AC"/>
    <w:rsid w:val="00602651"/>
    <w:rsid w:val="006031BD"/>
    <w:rsid w:val="00613E02"/>
    <w:rsid w:val="00622311"/>
    <w:rsid w:val="00631FFC"/>
    <w:rsid w:val="00641E8F"/>
    <w:rsid w:val="006439E2"/>
    <w:rsid w:val="00643CD8"/>
    <w:rsid w:val="00650452"/>
    <w:rsid w:val="0065243C"/>
    <w:rsid w:val="00665DAC"/>
    <w:rsid w:val="00670F52"/>
    <w:rsid w:val="00674BAC"/>
    <w:rsid w:val="006A04D7"/>
    <w:rsid w:val="006A0CA3"/>
    <w:rsid w:val="006A34A1"/>
    <w:rsid w:val="006B42FF"/>
    <w:rsid w:val="006B5EF5"/>
    <w:rsid w:val="006C575C"/>
    <w:rsid w:val="006D1BA4"/>
    <w:rsid w:val="006D3393"/>
    <w:rsid w:val="006D6304"/>
    <w:rsid w:val="006D6309"/>
    <w:rsid w:val="006E05C8"/>
    <w:rsid w:val="006E7F6D"/>
    <w:rsid w:val="006F2A92"/>
    <w:rsid w:val="006F3348"/>
    <w:rsid w:val="0070449F"/>
    <w:rsid w:val="007058D0"/>
    <w:rsid w:val="00726B51"/>
    <w:rsid w:val="007406EC"/>
    <w:rsid w:val="007422C3"/>
    <w:rsid w:val="00760527"/>
    <w:rsid w:val="00761285"/>
    <w:rsid w:val="007630E8"/>
    <w:rsid w:val="00765273"/>
    <w:rsid w:val="00766C94"/>
    <w:rsid w:val="00797414"/>
    <w:rsid w:val="007C07EA"/>
    <w:rsid w:val="007C547D"/>
    <w:rsid w:val="007C6B10"/>
    <w:rsid w:val="007D024C"/>
    <w:rsid w:val="007D1157"/>
    <w:rsid w:val="007D11D5"/>
    <w:rsid w:val="007D210C"/>
    <w:rsid w:val="007D556B"/>
    <w:rsid w:val="007D758E"/>
    <w:rsid w:val="007E22EB"/>
    <w:rsid w:val="007E3F94"/>
    <w:rsid w:val="007F00EF"/>
    <w:rsid w:val="007F4520"/>
    <w:rsid w:val="007F61BC"/>
    <w:rsid w:val="007F64A6"/>
    <w:rsid w:val="008020ED"/>
    <w:rsid w:val="00803FE9"/>
    <w:rsid w:val="008106E8"/>
    <w:rsid w:val="00811EF6"/>
    <w:rsid w:val="00814C5F"/>
    <w:rsid w:val="008150FF"/>
    <w:rsid w:val="00823736"/>
    <w:rsid w:val="0082515C"/>
    <w:rsid w:val="00830B22"/>
    <w:rsid w:val="00835BBA"/>
    <w:rsid w:val="00837554"/>
    <w:rsid w:val="00837580"/>
    <w:rsid w:val="00840C86"/>
    <w:rsid w:val="008414D1"/>
    <w:rsid w:val="00842360"/>
    <w:rsid w:val="00844BAA"/>
    <w:rsid w:val="008472C3"/>
    <w:rsid w:val="00860D34"/>
    <w:rsid w:val="00860FAB"/>
    <w:rsid w:val="00861BA7"/>
    <w:rsid w:val="008714EE"/>
    <w:rsid w:val="008743BA"/>
    <w:rsid w:val="008751E4"/>
    <w:rsid w:val="00877D4D"/>
    <w:rsid w:val="00886846"/>
    <w:rsid w:val="00886869"/>
    <w:rsid w:val="00890591"/>
    <w:rsid w:val="00890736"/>
    <w:rsid w:val="008A338F"/>
    <w:rsid w:val="008A3449"/>
    <w:rsid w:val="008A548F"/>
    <w:rsid w:val="008C367F"/>
    <w:rsid w:val="008C5FAB"/>
    <w:rsid w:val="008C6798"/>
    <w:rsid w:val="008C7EBC"/>
    <w:rsid w:val="008F36AB"/>
    <w:rsid w:val="008F36B3"/>
    <w:rsid w:val="008F5EF3"/>
    <w:rsid w:val="009129E7"/>
    <w:rsid w:val="00915659"/>
    <w:rsid w:val="00921FD0"/>
    <w:rsid w:val="009241A7"/>
    <w:rsid w:val="009401FF"/>
    <w:rsid w:val="009405FD"/>
    <w:rsid w:val="00943084"/>
    <w:rsid w:val="00946780"/>
    <w:rsid w:val="0095607B"/>
    <w:rsid w:val="00960667"/>
    <w:rsid w:val="00963072"/>
    <w:rsid w:val="00972355"/>
    <w:rsid w:val="00984202"/>
    <w:rsid w:val="00995F9D"/>
    <w:rsid w:val="009A0E8D"/>
    <w:rsid w:val="009A0F9A"/>
    <w:rsid w:val="009A6175"/>
    <w:rsid w:val="009B150E"/>
    <w:rsid w:val="009B4E7D"/>
    <w:rsid w:val="009C1AD9"/>
    <w:rsid w:val="009C5B36"/>
    <w:rsid w:val="009C76C9"/>
    <w:rsid w:val="00A20E5C"/>
    <w:rsid w:val="00A26108"/>
    <w:rsid w:val="00A37052"/>
    <w:rsid w:val="00A41F3D"/>
    <w:rsid w:val="00A425BB"/>
    <w:rsid w:val="00A559F3"/>
    <w:rsid w:val="00A729CC"/>
    <w:rsid w:val="00A86364"/>
    <w:rsid w:val="00A9254E"/>
    <w:rsid w:val="00A9529B"/>
    <w:rsid w:val="00A97C4E"/>
    <w:rsid w:val="00AA01AF"/>
    <w:rsid w:val="00AA0428"/>
    <w:rsid w:val="00AA1140"/>
    <w:rsid w:val="00AA6395"/>
    <w:rsid w:val="00AB4086"/>
    <w:rsid w:val="00AB5BD0"/>
    <w:rsid w:val="00AC05A7"/>
    <w:rsid w:val="00AC4D9F"/>
    <w:rsid w:val="00AD000F"/>
    <w:rsid w:val="00AD2053"/>
    <w:rsid w:val="00AD4D83"/>
    <w:rsid w:val="00AE0540"/>
    <w:rsid w:val="00AE6C3E"/>
    <w:rsid w:val="00AF6E6F"/>
    <w:rsid w:val="00B0043A"/>
    <w:rsid w:val="00B0154B"/>
    <w:rsid w:val="00B02A37"/>
    <w:rsid w:val="00B06451"/>
    <w:rsid w:val="00B10E57"/>
    <w:rsid w:val="00B20740"/>
    <w:rsid w:val="00B21B26"/>
    <w:rsid w:val="00B27A33"/>
    <w:rsid w:val="00B27A64"/>
    <w:rsid w:val="00B3455C"/>
    <w:rsid w:val="00B62868"/>
    <w:rsid w:val="00B641AF"/>
    <w:rsid w:val="00B715D5"/>
    <w:rsid w:val="00B748CC"/>
    <w:rsid w:val="00B75423"/>
    <w:rsid w:val="00B84B3B"/>
    <w:rsid w:val="00B93A3D"/>
    <w:rsid w:val="00BA6256"/>
    <w:rsid w:val="00BA6DB7"/>
    <w:rsid w:val="00BB4446"/>
    <w:rsid w:val="00BB7BB6"/>
    <w:rsid w:val="00BC23A0"/>
    <w:rsid w:val="00BC46A5"/>
    <w:rsid w:val="00BD7F4C"/>
    <w:rsid w:val="00C01A7B"/>
    <w:rsid w:val="00C05588"/>
    <w:rsid w:val="00C05887"/>
    <w:rsid w:val="00C12F64"/>
    <w:rsid w:val="00C21BE3"/>
    <w:rsid w:val="00C22E64"/>
    <w:rsid w:val="00C31AD5"/>
    <w:rsid w:val="00C40368"/>
    <w:rsid w:val="00C471D3"/>
    <w:rsid w:val="00C51170"/>
    <w:rsid w:val="00C558D6"/>
    <w:rsid w:val="00C56F25"/>
    <w:rsid w:val="00C64CD9"/>
    <w:rsid w:val="00C66077"/>
    <w:rsid w:val="00C67F3C"/>
    <w:rsid w:val="00C74C29"/>
    <w:rsid w:val="00C8060A"/>
    <w:rsid w:val="00C81BCC"/>
    <w:rsid w:val="00C903F8"/>
    <w:rsid w:val="00C9440E"/>
    <w:rsid w:val="00CA01B8"/>
    <w:rsid w:val="00CA01DA"/>
    <w:rsid w:val="00CA0910"/>
    <w:rsid w:val="00CA25F8"/>
    <w:rsid w:val="00CA6D58"/>
    <w:rsid w:val="00CB6C5D"/>
    <w:rsid w:val="00CB6F74"/>
    <w:rsid w:val="00CC14A2"/>
    <w:rsid w:val="00CC4A7F"/>
    <w:rsid w:val="00CC6FFC"/>
    <w:rsid w:val="00CD6CCE"/>
    <w:rsid w:val="00CD71D9"/>
    <w:rsid w:val="00CF2675"/>
    <w:rsid w:val="00D065FB"/>
    <w:rsid w:val="00D23370"/>
    <w:rsid w:val="00D23D82"/>
    <w:rsid w:val="00D26234"/>
    <w:rsid w:val="00D43347"/>
    <w:rsid w:val="00D45631"/>
    <w:rsid w:val="00D56B9C"/>
    <w:rsid w:val="00D60993"/>
    <w:rsid w:val="00D66042"/>
    <w:rsid w:val="00D72176"/>
    <w:rsid w:val="00D9139B"/>
    <w:rsid w:val="00D97538"/>
    <w:rsid w:val="00DA1C62"/>
    <w:rsid w:val="00DB5930"/>
    <w:rsid w:val="00DC3189"/>
    <w:rsid w:val="00DC71B8"/>
    <w:rsid w:val="00DD1C09"/>
    <w:rsid w:val="00DE4663"/>
    <w:rsid w:val="00DE5ECC"/>
    <w:rsid w:val="00DE629E"/>
    <w:rsid w:val="00DE71C6"/>
    <w:rsid w:val="00DF0D83"/>
    <w:rsid w:val="00DF10C7"/>
    <w:rsid w:val="00E0031D"/>
    <w:rsid w:val="00E11849"/>
    <w:rsid w:val="00E153EE"/>
    <w:rsid w:val="00E24AB0"/>
    <w:rsid w:val="00E25785"/>
    <w:rsid w:val="00E26DC3"/>
    <w:rsid w:val="00E335F0"/>
    <w:rsid w:val="00E5679C"/>
    <w:rsid w:val="00E658C2"/>
    <w:rsid w:val="00E65BF7"/>
    <w:rsid w:val="00E8516F"/>
    <w:rsid w:val="00E938C6"/>
    <w:rsid w:val="00EC5816"/>
    <w:rsid w:val="00EC7325"/>
    <w:rsid w:val="00ED35F1"/>
    <w:rsid w:val="00ED46A6"/>
    <w:rsid w:val="00EE3002"/>
    <w:rsid w:val="00EF0E8F"/>
    <w:rsid w:val="00EF2940"/>
    <w:rsid w:val="00EF3CDE"/>
    <w:rsid w:val="00EF71D9"/>
    <w:rsid w:val="00F11C38"/>
    <w:rsid w:val="00F27825"/>
    <w:rsid w:val="00F33736"/>
    <w:rsid w:val="00F52155"/>
    <w:rsid w:val="00F5265D"/>
    <w:rsid w:val="00F57431"/>
    <w:rsid w:val="00F6270E"/>
    <w:rsid w:val="00F678E4"/>
    <w:rsid w:val="00F831FF"/>
    <w:rsid w:val="00F845AD"/>
    <w:rsid w:val="00F85BC4"/>
    <w:rsid w:val="00FA16DB"/>
    <w:rsid w:val="00FA6F35"/>
    <w:rsid w:val="00FA7219"/>
    <w:rsid w:val="00FB0713"/>
    <w:rsid w:val="00FC481B"/>
    <w:rsid w:val="00FD016C"/>
    <w:rsid w:val="00FD0699"/>
    <w:rsid w:val="00FD2187"/>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F812"/>
  <w15:docId w15:val="{E8454B42-24DD-F946-B232-42BA0EF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2"/>
    <w:next w:val="Normal"/>
    <w:link w:val="Heading1Char"/>
    <w:uiPriority w:val="99"/>
    <w:qFormat/>
    <w:rsid w:val="004519AA"/>
    <w:pPr>
      <w:spacing w:before="0" w:after="120"/>
      <w:jc w:val="center"/>
      <w:outlineLvl w:val="0"/>
    </w:pPr>
    <w:rPr>
      <w:sz w:val="36"/>
      <w:szCs w:val="36"/>
    </w:rPr>
  </w:style>
  <w:style w:type="paragraph" w:styleId="Heading2">
    <w:name w:val="heading 2"/>
    <w:basedOn w:val="Normal"/>
    <w:next w:val="Normal"/>
    <w:link w:val="Heading2Char"/>
    <w:uiPriority w:val="99"/>
    <w:qFormat/>
    <w:rsid w:val="004519AA"/>
    <w:pPr>
      <w:keepNext/>
      <w:pBdr>
        <w:top w:val="none" w:sz="0" w:space="0" w:color="auto"/>
        <w:left w:val="none" w:sz="0" w:space="0" w:color="auto"/>
        <w:bottom w:val="none" w:sz="0" w:space="0" w:color="auto"/>
        <w:right w:val="none" w:sz="0" w:space="0" w:color="auto"/>
        <w:between w:val="none" w:sz="0" w:space="0" w:color="auto"/>
        <w:bar w:val="none" w:sz="0" w:color="auto"/>
      </w:pBdr>
      <w:spacing w:before="360" w:line="260" w:lineRule="exact"/>
      <w:outlineLvl w:val="1"/>
    </w:pPr>
    <w:rPr>
      <w:rFonts w:asciiTheme="minorHAnsi" w:eastAsia="Times New Roman" w:hAnsiTheme="minorHAnsi" w:cstheme="minorHAnsi"/>
      <w:b/>
      <w:caps/>
      <w:bdr w:val="none" w:sz="0" w:space="0" w:color="auto"/>
    </w:rPr>
  </w:style>
  <w:style w:type="paragraph" w:styleId="Heading3">
    <w:name w:val="heading 3"/>
    <w:basedOn w:val="Heading1"/>
    <w:next w:val="Normal"/>
    <w:link w:val="Heading3Char"/>
    <w:unhideWhenUsed/>
    <w:qFormat/>
    <w:rsid w:val="004519AA"/>
    <w:pPr>
      <w:spacing w:before="240"/>
      <w:jc w:val="left"/>
      <w:outlineLvl w:val="2"/>
    </w:pPr>
    <w:rPr>
      <w:cap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sz w:val="26"/>
      <w:szCs w:val="26"/>
      <w:u w:val="single"/>
    </w:rPr>
  </w:style>
  <w:style w:type="paragraph" w:customStyle="1" w:styleId="TableStyle1">
    <w:name w:val="Table Style 1"/>
    <w:rPr>
      <w:rFonts w:ascii="Helvetica" w:eastAsia="Helvetica" w:hAnsi="Helvetica" w:cs="Helvetica"/>
      <w:b/>
      <w:bCs/>
      <w:color w:val="000000"/>
      <w14:textOutline w14:w="0" w14:cap="flat" w14:cmpd="sng" w14:algn="ctr">
        <w14:noFill/>
        <w14:prstDash w14:val="solid"/>
        <w14:bevel/>
      </w14:textOutline>
    </w:rPr>
  </w:style>
  <w:style w:type="paragraph" w:customStyle="1" w:styleId="TableStyle2">
    <w:name w:val="Table Style 2"/>
    <w:rPr>
      <w:rFonts w:ascii="Helvetica" w:eastAsia="Helvetica" w:hAnsi="Helvetica" w:cs="Helvetica"/>
      <w:color w:val="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AE0540"/>
    <w:rPr>
      <w:color w:val="605E5C"/>
      <w:shd w:val="clear" w:color="auto" w:fill="E1DFDD"/>
    </w:rPr>
  </w:style>
  <w:style w:type="character" w:customStyle="1" w:styleId="Heading1Char">
    <w:name w:val="Heading 1 Char"/>
    <w:basedOn w:val="DefaultParagraphFont"/>
    <w:link w:val="Heading1"/>
    <w:uiPriority w:val="99"/>
    <w:rsid w:val="004519AA"/>
    <w:rPr>
      <w:rFonts w:asciiTheme="minorHAnsi" w:eastAsia="Times New Roman" w:hAnsiTheme="minorHAnsi" w:cstheme="minorHAnsi"/>
      <w:b/>
      <w:caps/>
      <w:sz w:val="36"/>
      <w:szCs w:val="36"/>
      <w:bdr w:val="none" w:sz="0" w:space="0" w:color="auto"/>
    </w:rPr>
  </w:style>
  <w:style w:type="character" w:customStyle="1" w:styleId="Heading2Char">
    <w:name w:val="Heading 2 Char"/>
    <w:basedOn w:val="DefaultParagraphFont"/>
    <w:link w:val="Heading2"/>
    <w:uiPriority w:val="99"/>
    <w:rsid w:val="004519AA"/>
    <w:rPr>
      <w:rFonts w:asciiTheme="minorHAnsi" w:eastAsia="Times New Roman" w:hAnsiTheme="minorHAnsi" w:cstheme="minorHAnsi"/>
      <w:b/>
      <w:caps/>
      <w:sz w:val="24"/>
      <w:szCs w:val="24"/>
      <w:bdr w:val="none" w:sz="0" w:space="0" w:color="auto"/>
    </w:rPr>
  </w:style>
  <w:style w:type="character" w:customStyle="1" w:styleId="Heading3Char">
    <w:name w:val="Heading 3 Char"/>
    <w:basedOn w:val="DefaultParagraphFont"/>
    <w:link w:val="Heading3"/>
    <w:rsid w:val="004519AA"/>
    <w:rPr>
      <w:rFonts w:asciiTheme="minorHAnsi" w:eastAsia="Times New Roman" w:hAnsiTheme="minorHAnsi" w:cstheme="minorHAnsi"/>
      <w:b/>
      <w:sz w:val="24"/>
      <w:szCs w:val="24"/>
      <w:bdr w:val="none" w:sz="0" w:space="0" w:color="auto"/>
    </w:rPr>
  </w:style>
  <w:style w:type="paragraph" w:styleId="ListParagraph">
    <w:name w:val="List Paragraph"/>
    <w:basedOn w:val="Normal"/>
    <w:uiPriority w:val="34"/>
    <w:qFormat/>
    <w:rsid w:val="004519AA"/>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720"/>
      <w:contextualSpacing/>
    </w:pPr>
    <w:rPr>
      <w:rFonts w:asciiTheme="minorHAnsi" w:eastAsia="Cambria" w:hAnsiTheme="minorHAnsi" w:cstheme="minorHAnsi"/>
      <w:bdr w:val="none" w:sz="0" w:space="0" w:color="auto"/>
    </w:rPr>
  </w:style>
  <w:style w:type="character" w:customStyle="1" w:styleId="textlayer--absolute">
    <w:name w:val="textlayer--absolute"/>
    <w:basedOn w:val="DefaultParagraphFont"/>
    <w:rsid w:val="001E19CE"/>
  </w:style>
  <w:style w:type="paragraph" w:styleId="FootnoteText">
    <w:name w:val="footnote text"/>
    <w:basedOn w:val="Normal"/>
    <w:link w:val="FootnoteTextChar"/>
    <w:uiPriority w:val="99"/>
    <w:semiHidden/>
    <w:unhideWhenUsed/>
    <w:rsid w:val="007406EC"/>
    <w:rPr>
      <w:sz w:val="20"/>
      <w:szCs w:val="20"/>
    </w:rPr>
  </w:style>
  <w:style w:type="character" w:customStyle="1" w:styleId="FootnoteTextChar">
    <w:name w:val="Footnote Text Char"/>
    <w:basedOn w:val="DefaultParagraphFont"/>
    <w:link w:val="FootnoteText"/>
    <w:uiPriority w:val="99"/>
    <w:semiHidden/>
    <w:rsid w:val="007406EC"/>
  </w:style>
  <w:style w:type="character" w:styleId="FootnoteReference">
    <w:name w:val="footnote reference"/>
    <w:basedOn w:val="DefaultParagraphFont"/>
    <w:uiPriority w:val="99"/>
    <w:semiHidden/>
    <w:unhideWhenUsed/>
    <w:rsid w:val="007406EC"/>
    <w:rPr>
      <w:vertAlign w:val="superscript"/>
    </w:rPr>
  </w:style>
  <w:style w:type="paragraph" w:styleId="Header">
    <w:name w:val="header"/>
    <w:basedOn w:val="Normal"/>
    <w:link w:val="HeaderChar"/>
    <w:uiPriority w:val="99"/>
    <w:unhideWhenUsed/>
    <w:rsid w:val="00602651"/>
    <w:pPr>
      <w:tabs>
        <w:tab w:val="center" w:pos="4680"/>
        <w:tab w:val="right" w:pos="9360"/>
      </w:tabs>
    </w:pPr>
  </w:style>
  <w:style w:type="character" w:customStyle="1" w:styleId="HeaderChar">
    <w:name w:val="Header Char"/>
    <w:basedOn w:val="DefaultParagraphFont"/>
    <w:link w:val="Header"/>
    <w:uiPriority w:val="99"/>
    <w:rsid w:val="00602651"/>
    <w:rPr>
      <w:sz w:val="24"/>
      <w:szCs w:val="24"/>
    </w:rPr>
  </w:style>
  <w:style w:type="paragraph" w:styleId="Footer">
    <w:name w:val="footer"/>
    <w:basedOn w:val="Normal"/>
    <w:link w:val="FooterChar"/>
    <w:uiPriority w:val="99"/>
    <w:unhideWhenUsed/>
    <w:rsid w:val="00602651"/>
    <w:pPr>
      <w:tabs>
        <w:tab w:val="center" w:pos="4680"/>
        <w:tab w:val="right" w:pos="9360"/>
      </w:tabs>
    </w:pPr>
  </w:style>
  <w:style w:type="character" w:customStyle="1" w:styleId="FooterChar">
    <w:name w:val="Footer Char"/>
    <w:basedOn w:val="DefaultParagraphFont"/>
    <w:link w:val="Footer"/>
    <w:uiPriority w:val="99"/>
    <w:rsid w:val="00602651"/>
    <w:rPr>
      <w:sz w:val="24"/>
      <w:szCs w:val="24"/>
    </w:rPr>
  </w:style>
  <w:style w:type="paragraph" w:styleId="Caption">
    <w:name w:val="caption"/>
    <w:basedOn w:val="Normal"/>
    <w:next w:val="Normal"/>
    <w:uiPriority w:val="35"/>
    <w:unhideWhenUsed/>
    <w:qFormat/>
    <w:rsid w:val="00602651"/>
    <w:pPr>
      <w:spacing w:after="200"/>
    </w:pPr>
    <w:rPr>
      <w:i/>
      <w:iCs/>
      <w:color w:val="404040" w:themeColor="text2"/>
      <w:sz w:val="18"/>
      <w:szCs w:val="18"/>
    </w:rPr>
  </w:style>
  <w:style w:type="paragraph" w:customStyle="1" w:styleId="body0">
    <w:name w:val="body"/>
    <w:basedOn w:val="Normal"/>
    <w:rsid w:val="00B10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7055">
      <w:bodyDiv w:val="1"/>
      <w:marLeft w:val="0"/>
      <w:marRight w:val="0"/>
      <w:marTop w:val="0"/>
      <w:marBottom w:val="0"/>
      <w:divBdr>
        <w:top w:val="none" w:sz="0" w:space="0" w:color="auto"/>
        <w:left w:val="none" w:sz="0" w:space="0" w:color="auto"/>
        <w:bottom w:val="none" w:sz="0" w:space="0" w:color="auto"/>
        <w:right w:val="none" w:sz="0" w:space="0" w:color="auto"/>
      </w:divBdr>
    </w:div>
    <w:div w:id="89335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obst@uw.edu" TargetMode="External"/><Relationship Id="rId13" Type="http://schemas.openxmlformats.org/officeDocument/2006/relationships/hyperlink" Target="http://www.washington.edu/students/gencat/front/Grading_Sys.html" TargetMode="External"/><Relationship Id="rId18" Type="http://schemas.openxmlformats.org/officeDocument/2006/relationships/hyperlink" Target="https://www.washington.edu/compliance/tixio/" TargetMode="External"/><Relationship Id="rId3" Type="http://schemas.openxmlformats.org/officeDocument/2006/relationships/styles" Target="styles.xml"/><Relationship Id="rId21" Type="http://schemas.openxmlformats.org/officeDocument/2006/relationships/hyperlink" Target="https://ap.washington.edu/ormp/" TargetMode="External"/><Relationship Id="rId7" Type="http://schemas.openxmlformats.org/officeDocument/2006/relationships/endnotes" Target="endnotes.xml"/><Relationship Id="rId12" Type="http://schemas.openxmlformats.org/officeDocument/2006/relationships/hyperlink" Target="https://registrar.washington.edu/students/incomplete-grades/" TargetMode="External"/><Relationship Id="rId17" Type="http://schemas.openxmlformats.org/officeDocument/2006/relationships/hyperlink" Target="https://www.washington.edu/ombu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pts.washington.edu/uwdrs/" TargetMode="External"/><Relationship Id="rId20" Type="http://schemas.openxmlformats.org/officeDocument/2006/relationships/hyperlink" Target="https://www.washington.edu/admin/rules/policies/PO/EO6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478-121-1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wdrs@uw.edu" TargetMode="External"/><Relationship Id="rId23" Type="http://schemas.openxmlformats.org/officeDocument/2006/relationships/hyperlink" Target="http://www.washington.edu/safecampus" TargetMode="External"/><Relationship Id="rId10" Type="http://schemas.openxmlformats.org/officeDocument/2006/relationships/hyperlink" Target="http://www.washington.edu/admin/rules/policies/WAC/478-121TOC.html" TargetMode="External"/><Relationship Id="rId19" Type="http://schemas.openxmlformats.org/officeDocument/2006/relationships/hyperlink" Target="https://www.washington.edu/compliance/uciro/" TargetMode="External"/><Relationship Id="rId4" Type="http://schemas.openxmlformats.org/officeDocument/2006/relationships/settings" Target="settings.xml"/><Relationship Id="rId9" Type="http://schemas.openxmlformats.org/officeDocument/2006/relationships/hyperlink" Target="https://washington.zoom.us/j/99083696207" TargetMode="External"/><Relationship Id="rId14" Type="http://schemas.openxmlformats.org/officeDocument/2006/relationships/hyperlink" Target="http://www.washington.edu/students/gencat/front/Grading_Sys.html" TargetMode="External"/><Relationship Id="rId22" Type="http://schemas.openxmlformats.org/officeDocument/2006/relationships/hyperlink" Target="http://www.washington.edu/aler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586A-CD7E-4E4B-80CC-FE0B872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Obst</dc:creator>
  <cp:lastModifiedBy>Arthur Obst</cp:lastModifiedBy>
  <cp:revision>279</cp:revision>
  <dcterms:created xsi:type="dcterms:W3CDTF">2021-05-07T21:05:00Z</dcterms:created>
  <dcterms:modified xsi:type="dcterms:W3CDTF">2021-06-21T18:47:00Z</dcterms:modified>
</cp:coreProperties>
</file>