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FC33" w14:textId="7A686958" w:rsidR="009605C7" w:rsidRPr="00A07557" w:rsidRDefault="004F2BB8" w:rsidP="00A07557">
      <w:pPr>
        <w:pStyle w:val="Title"/>
        <w:rPr>
          <w:rFonts w:ascii="Times New Roman" w:hAnsi="Times New Roman" w:cs="Times New Roman"/>
          <w:b/>
          <w:bCs/>
          <w:sz w:val="28"/>
          <w:szCs w:val="28"/>
        </w:rPr>
      </w:pPr>
      <w:proofErr w:type="spellStart"/>
      <w:r w:rsidRPr="00A07557">
        <w:rPr>
          <w:rFonts w:ascii="Times New Roman" w:hAnsi="Times New Roman" w:cs="Times New Roman"/>
          <w:b/>
          <w:bCs/>
          <w:sz w:val="28"/>
          <w:szCs w:val="28"/>
        </w:rPr>
        <w:t>ArtH</w:t>
      </w:r>
      <w:proofErr w:type="spellEnd"/>
      <w:r w:rsidRPr="00A07557">
        <w:rPr>
          <w:rFonts w:ascii="Times New Roman" w:hAnsi="Times New Roman" w:cs="Times New Roman"/>
          <w:b/>
          <w:bCs/>
          <w:sz w:val="28"/>
          <w:szCs w:val="28"/>
        </w:rPr>
        <w:t xml:space="preserve"> 492/509 Alternative Art Since 1960</w:t>
      </w:r>
    </w:p>
    <w:p w14:paraId="129E5CAB" w14:textId="437600EF" w:rsidR="004F2BB8" w:rsidRPr="00A07557" w:rsidRDefault="004F2BB8" w:rsidP="00A07557">
      <w:pPr>
        <w:pStyle w:val="Title"/>
        <w:rPr>
          <w:rFonts w:ascii="Times New Roman" w:hAnsi="Times New Roman" w:cs="Times New Roman"/>
          <w:b/>
          <w:bCs/>
          <w:sz w:val="28"/>
          <w:szCs w:val="28"/>
        </w:rPr>
      </w:pPr>
      <w:r w:rsidRPr="00A07557">
        <w:rPr>
          <w:rFonts w:ascii="Times New Roman" w:hAnsi="Times New Roman" w:cs="Times New Roman"/>
          <w:b/>
          <w:bCs/>
          <w:sz w:val="28"/>
          <w:szCs w:val="28"/>
        </w:rPr>
        <w:t>Topic: Global Conceptual Art</w:t>
      </w:r>
    </w:p>
    <w:p w14:paraId="210EA81E" w14:textId="4E288E74" w:rsidR="004F2BB8" w:rsidRPr="00304398" w:rsidRDefault="004F2BB8">
      <w:r w:rsidRPr="00304398">
        <w:t xml:space="preserve">Professor Adair </w:t>
      </w:r>
      <w:proofErr w:type="spellStart"/>
      <w:r w:rsidRPr="00304398">
        <w:t>Rounthwaite</w:t>
      </w:r>
      <w:proofErr w:type="spellEnd"/>
      <w:r w:rsidRPr="00304398">
        <w:t>, vadair@uw.edu</w:t>
      </w:r>
    </w:p>
    <w:p w14:paraId="04EDE9A9" w14:textId="6C8C5FD4" w:rsidR="004F2BB8" w:rsidRPr="00304398" w:rsidRDefault="004F2BB8">
      <w:r w:rsidRPr="00304398">
        <w:t>Tuesday and Thursday, 10-11:20am, in-person meeting in Art Building 317</w:t>
      </w:r>
    </w:p>
    <w:p w14:paraId="5DA6BFC9" w14:textId="05AE6E3B" w:rsidR="00304398" w:rsidRPr="00304398" w:rsidRDefault="00304398" w:rsidP="00304398">
      <w:pPr>
        <w:rPr>
          <w:rFonts w:eastAsia="Times New Roman"/>
          <w:color w:val="2D3B45"/>
        </w:rPr>
      </w:pPr>
      <w:r w:rsidRPr="00304398">
        <w:t>Office hours Tuesday 12:30-1:30pm</w:t>
      </w:r>
      <w:r>
        <w:t>,</w:t>
      </w:r>
      <w:r w:rsidRPr="00304398">
        <w:t xml:space="preserve"> Wednesday 10-11am</w:t>
      </w:r>
      <w:r>
        <w:t>, or by appointment,</w:t>
      </w:r>
      <w:r w:rsidRPr="00304398">
        <w:t xml:space="preserve"> in my Zoom meeting room: </w:t>
      </w:r>
      <w:r w:rsidRPr="00304398">
        <w:rPr>
          <w:rFonts w:eastAsia="Times New Roman"/>
          <w:color w:val="2D3B45"/>
        </w:rPr>
        <w:br/>
      </w:r>
      <w:hyperlink r:id="rId8" w:history="1">
        <w:r w:rsidRPr="00304398">
          <w:rPr>
            <w:rStyle w:val="Hyperlink"/>
            <w:rFonts w:eastAsia="Times New Roman"/>
          </w:rPr>
          <w:t>https://washington.zoom.us/j/2448300971</w:t>
        </w:r>
      </w:hyperlink>
      <w:r w:rsidRPr="00304398">
        <w:rPr>
          <w:rFonts w:eastAsia="Times New Roman"/>
          <w:color w:val="2D3B45"/>
        </w:rPr>
        <w:t xml:space="preserve"> </w:t>
      </w:r>
    </w:p>
    <w:p w14:paraId="7102DAD6" w14:textId="15922A9F" w:rsidR="00304398" w:rsidRDefault="00304398"/>
    <w:p w14:paraId="2379D860" w14:textId="0C338EF3" w:rsidR="00304398" w:rsidRPr="00A07557" w:rsidRDefault="00304398" w:rsidP="00A07557">
      <w:pPr>
        <w:pStyle w:val="Heading1"/>
        <w:rPr>
          <w:rFonts w:ascii="Times New Roman" w:hAnsi="Times New Roman"/>
        </w:rPr>
      </w:pPr>
      <w:r w:rsidRPr="00A07557">
        <w:rPr>
          <w:rFonts w:ascii="Times New Roman" w:hAnsi="Times New Roman"/>
        </w:rPr>
        <w:t>Course summary</w:t>
      </w:r>
    </w:p>
    <w:p w14:paraId="6A2DC885" w14:textId="776B3EBF" w:rsidR="008038BE" w:rsidRDefault="008038BE" w:rsidP="008038BE">
      <w:r w:rsidRPr="008038BE">
        <w:t>Depending on your perspective, you may think of conceptual art as the most innovative art movement of the 20</w:t>
      </w:r>
      <w:r w:rsidRPr="008038BE">
        <w:rPr>
          <w:vertAlign w:val="superscript"/>
        </w:rPr>
        <w:t>th</w:t>
      </w:r>
      <w:r w:rsidRPr="008038BE">
        <w:t> century, or as the driest and least appealing unit from your Art Since 1945 survey. Conceptualism revolves around the notion that art is defined by its idea. That radical concept brought about a sweeping reconsideration from the 1960s onwards of existing understandings of the artwork, the role of the artist, and what it means to experience art. </w:t>
      </w:r>
    </w:p>
    <w:p w14:paraId="68532703" w14:textId="77777777" w:rsidR="008038BE" w:rsidRPr="008038BE" w:rsidRDefault="008038BE" w:rsidP="008038BE"/>
    <w:p w14:paraId="79727DB7" w14:textId="590C8138" w:rsidR="008038BE" w:rsidRDefault="008038BE" w:rsidP="008038BE">
      <w:r w:rsidRPr="008038BE">
        <w:t xml:space="preserve">Though dominant understandings of conceptualism used to revolve around a group of American and British artists working from 1967 onwards, the past two decades have seen an explosion of scholarship that has greatly broadened that history in two </w:t>
      </w:r>
      <w:proofErr w:type="gramStart"/>
      <w:r w:rsidRPr="008038BE">
        <w:t>key ways</w:t>
      </w:r>
      <w:proofErr w:type="gramEnd"/>
      <w:r w:rsidRPr="008038BE">
        <w:t>. First, scholars and curators now see conceptualism fundamentally as a global movement, in which ideas circulated around the world but where certain kinds of art practice took shape in response to their local circumstances. In that process, conceptual approaches sometimes gave rise to much more overtly political kinds of art that we might associated with “classic” analytic conceptualism. Second, scholarship of recent years has increasingly stressed the importance of conceptualism as the condition of emergence of contemporary art as such, meaning that this history is still very much alive and well in the present.</w:t>
      </w:r>
    </w:p>
    <w:p w14:paraId="4FC62719" w14:textId="77777777" w:rsidR="008038BE" w:rsidRPr="008038BE" w:rsidRDefault="008038BE" w:rsidP="008038BE"/>
    <w:p w14:paraId="384DC8CC" w14:textId="24E8C259" w:rsidR="008038BE" w:rsidRPr="008038BE" w:rsidRDefault="008038BE" w:rsidP="008038BE">
      <w:r w:rsidRPr="008038BE">
        <w:t>This course covers a wide range of case studies</w:t>
      </w:r>
      <w:r w:rsidR="00A15600">
        <w:t xml:space="preserve"> from</w:t>
      </w:r>
      <w:r w:rsidRPr="008038BE">
        <w:t xml:space="preserve"> the 1960s to the present</w:t>
      </w:r>
      <w:r w:rsidR="00A15600">
        <w:t>, which</w:t>
      </w:r>
      <w:r w:rsidRPr="008038BE">
        <w:t xml:space="preserve"> come from many different parts of the world. We’ll get a chance to revel in the diversity and ingenuity of conceptualism, </w:t>
      </w:r>
      <w:proofErr w:type="gramStart"/>
      <w:r w:rsidRPr="008038BE">
        <w:t>and also</w:t>
      </w:r>
      <w:proofErr w:type="gramEnd"/>
      <w:r w:rsidRPr="008038BE">
        <w:t xml:space="preserve"> to discuss historical methodologies for understanding i</w:t>
      </w:r>
      <w:r w:rsidR="00A15600">
        <w:t>t</w:t>
      </w:r>
      <w:r w:rsidRPr="008038BE">
        <w:t>. What does conceptualism in particular tell us about the condition of art making around the world in the late 20</w:t>
      </w:r>
      <w:r w:rsidRPr="008038BE">
        <w:rPr>
          <w:vertAlign w:val="superscript"/>
        </w:rPr>
        <w:t>th</w:t>
      </w:r>
      <w:r w:rsidRPr="008038BE">
        <w:t> and early 21</w:t>
      </w:r>
      <w:r w:rsidRPr="008038BE">
        <w:rPr>
          <w:vertAlign w:val="superscript"/>
        </w:rPr>
        <w:t>st</w:t>
      </w:r>
      <w:r w:rsidRPr="008038BE">
        <w:t> centuries? How has it been particularly important in the articulation of contemporary art</w:t>
      </w:r>
      <w:r w:rsidR="00A15600">
        <w:t>’</w:t>
      </w:r>
      <w:r w:rsidRPr="008038BE">
        <w:t>s political nature?</w:t>
      </w:r>
      <w:r w:rsidR="00E57402">
        <w:t xml:space="preserve"> What have artists gained by engaging local histories via a conceptual vocabulary?</w:t>
      </w:r>
      <w:r w:rsidRPr="008038BE">
        <w:t xml:space="preserve"> It is still useful to think of conceptual art as a “movement,” once we take it beyond the narrow bounds of Anglo-American history?</w:t>
      </w:r>
    </w:p>
    <w:p w14:paraId="018F1B8F" w14:textId="6A20DDEA" w:rsidR="00304398" w:rsidRDefault="00304398"/>
    <w:p w14:paraId="09EE5738" w14:textId="732252F6" w:rsidR="00304398" w:rsidRPr="00DF7B53" w:rsidRDefault="00304398" w:rsidP="00DF7B53">
      <w:pPr>
        <w:pStyle w:val="Heading1"/>
        <w:rPr>
          <w:rFonts w:ascii="Times New Roman" w:hAnsi="Times New Roman"/>
        </w:rPr>
      </w:pPr>
      <w:r w:rsidRPr="00DF7B53">
        <w:rPr>
          <w:rFonts w:ascii="Times New Roman" w:hAnsi="Times New Roman"/>
        </w:rPr>
        <w:t>Learning goals:</w:t>
      </w:r>
    </w:p>
    <w:p w14:paraId="06D5A5ED" w14:textId="267B9330" w:rsidR="00DF7B53" w:rsidRDefault="00DF7B53" w:rsidP="00DF7B53">
      <w:pPr>
        <w:pStyle w:val="ListParagraph"/>
        <w:numPr>
          <w:ilvl w:val="0"/>
          <w:numId w:val="1"/>
        </w:numPr>
      </w:pPr>
      <w:r>
        <w:t xml:space="preserve">Gain familiarity with conceptualism as a movement and with key artists and writers associated with it. </w:t>
      </w:r>
    </w:p>
    <w:p w14:paraId="6DCA6AEE" w14:textId="1E7B3C9E" w:rsidR="00535E8D" w:rsidRDefault="00535E8D" w:rsidP="00DF7B53">
      <w:pPr>
        <w:pStyle w:val="ListParagraph"/>
        <w:numPr>
          <w:ilvl w:val="0"/>
          <w:numId w:val="1"/>
        </w:numPr>
      </w:pPr>
      <w:r>
        <w:t xml:space="preserve">Learn about case studies from around the </w:t>
      </w:r>
      <w:proofErr w:type="gramStart"/>
      <w:r>
        <w:t>world, and</w:t>
      </w:r>
      <w:proofErr w:type="gramEnd"/>
      <w:r>
        <w:t xml:space="preserve"> reflect on how their diversity and similarity informs what we consider to be an “art movement.”</w:t>
      </w:r>
    </w:p>
    <w:p w14:paraId="0E735347" w14:textId="738F1E1D" w:rsidR="00DF7B53" w:rsidRDefault="00DF7B53" w:rsidP="00DF7B53">
      <w:pPr>
        <w:pStyle w:val="ListParagraph"/>
        <w:numPr>
          <w:ilvl w:val="0"/>
          <w:numId w:val="1"/>
        </w:numPr>
      </w:pPr>
      <w:r>
        <w:t xml:space="preserve">Engage in discussion and reflection about the value of decentering Western histories, and about the extent to which learning about a history can help you to critique it. </w:t>
      </w:r>
    </w:p>
    <w:p w14:paraId="5483404F" w14:textId="6DB189A0" w:rsidR="00DF7B53" w:rsidRDefault="00DF7B53" w:rsidP="00DF7B53">
      <w:pPr>
        <w:pStyle w:val="ListParagraph"/>
        <w:numPr>
          <w:ilvl w:val="0"/>
          <w:numId w:val="1"/>
        </w:numPr>
      </w:pPr>
      <w:r>
        <w:t>Increase your understanding of the connections between contemporary art post-1989, and innovations that took place in the 19</w:t>
      </w:r>
      <w:r w:rsidR="008038BE">
        <w:t>60s and 1970s</w:t>
      </w:r>
      <w:r>
        <w:t xml:space="preserve">. </w:t>
      </w:r>
    </w:p>
    <w:p w14:paraId="4EDA31CA" w14:textId="7EEAD953" w:rsidR="00DF7B53" w:rsidRDefault="00DF7B53" w:rsidP="00DF7B53">
      <w:pPr>
        <w:pStyle w:val="ListParagraph"/>
        <w:numPr>
          <w:ilvl w:val="0"/>
          <w:numId w:val="1"/>
        </w:numPr>
      </w:pPr>
      <w:r>
        <w:t xml:space="preserve">Strengthen your analytical writing and speaking skills. </w:t>
      </w:r>
    </w:p>
    <w:p w14:paraId="12A047AE" w14:textId="7CBFC656" w:rsidR="00DF7B53" w:rsidRDefault="00DF7B53" w:rsidP="00DF7B53">
      <w:pPr>
        <w:pStyle w:val="ListParagraph"/>
        <w:numPr>
          <w:ilvl w:val="0"/>
          <w:numId w:val="1"/>
        </w:numPr>
      </w:pPr>
      <w:r>
        <w:lastRenderedPageBreak/>
        <w:t xml:space="preserve">Practice managing your workflow proactively and obtaining support when </w:t>
      </w:r>
      <w:proofErr w:type="gramStart"/>
      <w:r>
        <w:t>necessary</w:t>
      </w:r>
      <w:proofErr w:type="gramEnd"/>
      <w:r>
        <w:t xml:space="preserve"> throughout the quarter. </w:t>
      </w:r>
    </w:p>
    <w:p w14:paraId="21A70610" w14:textId="6711A30E" w:rsidR="00304398" w:rsidRDefault="00304398"/>
    <w:p w14:paraId="731824AE" w14:textId="00441AC1" w:rsidR="00304398" w:rsidRDefault="00304398"/>
    <w:p w14:paraId="668CAFCA" w14:textId="1BC572EF" w:rsidR="00304398" w:rsidRPr="00E94466" w:rsidRDefault="00304398" w:rsidP="00E94466">
      <w:pPr>
        <w:pStyle w:val="Heading1"/>
        <w:rPr>
          <w:rFonts w:ascii="Times New Roman" w:hAnsi="Times New Roman"/>
        </w:rPr>
      </w:pPr>
      <w:r w:rsidRPr="00E94466">
        <w:rPr>
          <w:rFonts w:ascii="Times New Roman" w:hAnsi="Times New Roman"/>
        </w:rPr>
        <w:t>Evaluations</w:t>
      </w:r>
    </w:p>
    <w:tbl>
      <w:tblPr>
        <w:tblStyle w:val="TableGrid"/>
        <w:tblW w:w="0" w:type="auto"/>
        <w:tblLook w:val="04A0" w:firstRow="1" w:lastRow="0" w:firstColumn="1" w:lastColumn="0" w:noHBand="0" w:noVBand="1"/>
      </w:tblPr>
      <w:tblGrid>
        <w:gridCol w:w="2709"/>
        <w:gridCol w:w="2709"/>
        <w:gridCol w:w="3932"/>
      </w:tblGrid>
      <w:tr w:rsidR="00304398" w14:paraId="3AA88414" w14:textId="0B75BF13" w:rsidTr="00304398">
        <w:tc>
          <w:tcPr>
            <w:tcW w:w="5418" w:type="dxa"/>
            <w:gridSpan w:val="2"/>
          </w:tcPr>
          <w:p w14:paraId="47D4680D" w14:textId="0B7AB6B6" w:rsidR="00304398" w:rsidRDefault="00304398">
            <w:r>
              <w:t>Introductory writing assignment</w:t>
            </w:r>
            <w:r w:rsidR="00C34D92">
              <w:t>, due 10/11</w:t>
            </w:r>
          </w:p>
        </w:tc>
        <w:tc>
          <w:tcPr>
            <w:tcW w:w="3932" w:type="dxa"/>
          </w:tcPr>
          <w:p w14:paraId="3F2FF7B2" w14:textId="24F3ABB9" w:rsidR="00304398" w:rsidRDefault="00304398">
            <w:r>
              <w:t>10%</w:t>
            </w:r>
          </w:p>
        </w:tc>
      </w:tr>
      <w:tr w:rsidR="00E57402" w14:paraId="42913BA9" w14:textId="77777777" w:rsidTr="00304398">
        <w:tc>
          <w:tcPr>
            <w:tcW w:w="5418" w:type="dxa"/>
            <w:gridSpan w:val="2"/>
          </w:tcPr>
          <w:p w14:paraId="2D004B29" w14:textId="374FF236" w:rsidR="00E57402" w:rsidRDefault="00E57402">
            <w:r>
              <w:t>Group presentation on an artist’s text</w:t>
            </w:r>
          </w:p>
        </w:tc>
        <w:tc>
          <w:tcPr>
            <w:tcW w:w="3932" w:type="dxa"/>
          </w:tcPr>
          <w:p w14:paraId="7F5031BE" w14:textId="026121FA" w:rsidR="00E57402" w:rsidRDefault="00E57402">
            <w:r>
              <w:t>10%</w:t>
            </w:r>
          </w:p>
        </w:tc>
      </w:tr>
      <w:tr w:rsidR="00304398" w14:paraId="0CA3B5E2" w14:textId="2E3E3F8E" w:rsidTr="00304398">
        <w:tc>
          <w:tcPr>
            <w:tcW w:w="2709" w:type="dxa"/>
          </w:tcPr>
          <w:p w14:paraId="6DDFC66F" w14:textId="14AC886B" w:rsidR="00304398" w:rsidRDefault="00304398">
            <w:r>
              <w:t>Choice A for a major writing assignment: Two 5-page response papers</w:t>
            </w:r>
          </w:p>
        </w:tc>
        <w:tc>
          <w:tcPr>
            <w:tcW w:w="2709" w:type="dxa"/>
          </w:tcPr>
          <w:p w14:paraId="3EDCBDA7" w14:textId="77777777" w:rsidR="00304398" w:rsidRDefault="00304398" w:rsidP="00304398">
            <w:r>
              <w:t>Choice B for a major writing assignment:</w:t>
            </w:r>
          </w:p>
          <w:p w14:paraId="3CCC81FE" w14:textId="356477C0" w:rsidR="00304398" w:rsidRDefault="00304398" w:rsidP="00304398">
            <w:r>
              <w:t>15-page research paper</w:t>
            </w:r>
          </w:p>
        </w:tc>
        <w:tc>
          <w:tcPr>
            <w:tcW w:w="3932" w:type="dxa"/>
          </w:tcPr>
          <w:p w14:paraId="251906E6" w14:textId="1917400D" w:rsidR="00304398" w:rsidRDefault="00E57402" w:rsidP="00304398">
            <w:r>
              <w:t>6</w:t>
            </w:r>
            <w:r w:rsidR="00304398">
              <w:t>0% (2 x 30% for response papers</w:t>
            </w:r>
            <w:r w:rsidR="00D5431F">
              <w:t>, for research paper 5% initial prospectus + 55% final paper</w:t>
            </w:r>
            <w:r w:rsidR="00304398">
              <w:t>)</w:t>
            </w:r>
          </w:p>
        </w:tc>
      </w:tr>
      <w:tr w:rsidR="00304398" w14:paraId="0B45B89C" w14:textId="4C2A7700" w:rsidTr="00304398">
        <w:trPr>
          <w:trHeight w:val="116"/>
        </w:trPr>
        <w:tc>
          <w:tcPr>
            <w:tcW w:w="5418" w:type="dxa"/>
            <w:gridSpan w:val="2"/>
          </w:tcPr>
          <w:p w14:paraId="38CC28CB" w14:textId="6F095932" w:rsidR="00304398" w:rsidRDefault="00304398">
            <w:r>
              <w:t xml:space="preserve">Participation, orally in class and digitally via Hypothes.is for selected readings </w:t>
            </w:r>
          </w:p>
        </w:tc>
        <w:tc>
          <w:tcPr>
            <w:tcW w:w="3932" w:type="dxa"/>
          </w:tcPr>
          <w:p w14:paraId="142425DA" w14:textId="3D65F7D7" w:rsidR="00304398" w:rsidRDefault="00E57402">
            <w:r>
              <w:t>2</w:t>
            </w:r>
            <w:r w:rsidR="00D5431F">
              <w:t>0%</w:t>
            </w:r>
          </w:p>
        </w:tc>
      </w:tr>
    </w:tbl>
    <w:p w14:paraId="71E8507E" w14:textId="2971EEB0" w:rsidR="002B2B3F" w:rsidRDefault="002B2B3F"/>
    <w:p w14:paraId="12DE9BC6" w14:textId="12904DDF" w:rsidR="00F60392" w:rsidRDefault="00F60392">
      <w:r>
        <w:t>Introductory writing assignment</w:t>
      </w:r>
    </w:p>
    <w:p w14:paraId="4508159D" w14:textId="7D7282F5" w:rsidR="00F60392" w:rsidRDefault="00F60392">
      <w:r>
        <w:t xml:space="preserve">This assignment is a short paper of just </w:t>
      </w:r>
      <w:r w:rsidR="00CA206A">
        <w:t>50</w:t>
      </w:r>
      <w:r>
        <w:t xml:space="preserve">0 words, in which you will reflect on the “Early articulations” (October 5) readings and the questions they raise about the framework of our class. See Canvas for a detailed assignment description. </w:t>
      </w:r>
    </w:p>
    <w:p w14:paraId="16EE9EBF" w14:textId="5B4CCF31" w:rsidR="00CF587F" w:rsidRDefault="00CF587F"/>
    <w:p w14:paraId="2CB5616B" w14:textId="2AAA8BBD" w:rsidR="00CF587F" w:rsidRDefault="00CF587F">
      <w:r>
        <w:t>Group presentation on an artist’s text</w:t>
      </w:r>
    </w:p>
    <w:p w14:paraId="6BBFA521" w14:textId="78965C19" w:rsidR="00C34D92" w:rsidRDefault="00C34D92">
      <w:r>
        <w:t xml:space="preserve">You will work with between one and three other students to create a 15-minute presentation about two short artists’ or critics’ texts from the period under analysis. These presentations are intended to spark discussion and bring careful attention to the nuances of various conceptualisms. See Canvas for an assignment description and sign-up (and see the schedule below for eligible dates and texts). </w:t>
      </w:r>
    </w:p>
    <w:p w14:paraId="3B581D93" w14:textId="3E7358DC" w:rsidR="00C34D92" w:rsidRDefault="00C34D92"/>
    <w:p w14:paraId="6A24BC32" w14:textId="4F76DF17" w:rsidR="00C34D92" w:rsidRDefault="00C34D92">
      <w:r>
        <w:t xml:space="preserve">Major writing assignment </w:t>
      </w:r>
    </w:p>
    <w:p w14:paraId="4423CF7E" w14:textId="557ADB8A" w:rsidR="00CF587F" w:rsidRDefault="00F728E3">
      <w:r>
        <w:t xml:space="preserve">You have two options in terms of your major writing assignment(s) for this course. The first is choosing to write two 5-page papers which draw on class material to respond to prompts. These papers do not require external research, and are a good choice if you’re newer to art historical writing or to modern and contemporary art. The second option is to write a </w:t>
      </w:r>
      <w:proofErr w:type="gramStart"/>
      <w:r>
        <w:t>15-20 page</w:t>
      </w:r>
      <w:proofErr w:type="gramEnd"/>
      <w:r>
        <w:t xml:space="preserve"> research paper. I expect </w:t>
      </w:r>
      <w:proofErr w:type="gramStart"/>
      <w:r>
        <w:t>Masters</w:t>
      </w:r>
      <w:proofErr w:type="gramEnd"/>
      <w:r>
        <w:t xml:space="preserve"> and Doctoral students in Art History and related humanities fields to choose this option. See Canvas for assignment descriptions.</w:t>
      </w:r>
    </w:p>
    <w:p w14:paraId="0D4C63FA" w14:textId="77777777" w:rsidR="00CF587F" w:rsidRDefault="00CF587F"/>
    <w:p w14:paraId="137B0A51" w14:textId="76942438" w:rsidR="00F60392" w:rsidRDefault="00F728E3">
      <w:r>
        <w:t>Participation</w:t>
      </w:r>
    </w:p>
    <w:p w14:paraId="35135905" w14:textId="15681C75" w:rsidR="00F728E3" w:rsidRDefault="00F728E3">
      <w:r>
        <w:t xml:space="preserve">The bulk of participation will take place orally, in class. In addition, </w:t>
      </w:r>
      <w:r w:rsidR="00CB2FA1">
        <w:t>six</w:t>
      </w:r>
      <w:r w:rsidR="00FC5AAF">
        <w:t xml:space="preserve"> readings will provide opportunities for you to participate via annotations in Hypothes.is. This will enable us to deepen our collective readings of those texts </w:t>
      </w:r>
      <w:proofErr w:type="gramStart"/>
      <w:r w:rsidR="00FC5AAF">
        <w:t>and also</w:t>
      </w:r>
      <w:proofErr w:type="gramEnd"/>
      <w:r w:rsidR="00FC5AAF">
        <w:t xml:space="preserve"> provide an opportunity to strengthen participation credit for those who are shy about talking in class. </w:t>
      </w:r>
    </w:p>
    <w:p w14:paraId="3B7A4D25" w14:textId="77777777" w:rsidR="00F60392" w:rsidRDefault="00F60392"/>
    <w:p w14:paraId="537B9760" w14:textId="34FE428A" w:rsidR="002B2B3F" w:rsidRDefault="002B2B3F" w:rsidP="002B2B3F">
      <w:pPr>
        <w:pStyle w:val="Heading1"/>
        <w:rPr>
          <w:rFonts w:ascii="Times New Roman" w:hAnsi="Times New Roman"/>
        </w:rPr>
      </w:pPr>
      <w:r w:rsidRPr="002B2B3F">
        <w:rPr>
          <w:rFonts w:ascii="Times New Roman" w:hAnsi="Times New Roman"/>
        </w:rPr>
        <w:t xml:space="preserve">Class schedule </w:t>
      </w:r>
    </w:p>
    <w:p w14:paraId="194B6880" w14:textId="23FBA7DD" w:rsidR="00810EE6" w:rsidRPr="00810EE6" w:rsidRDefault="00810EE6" w:rsidP="00810EE6">
      <w:r>
        <w:t xml:space="preserve">For each reading listed, read it </w:t>
      </w:r>
      <w:r>
        <w:rPr>
          <w:i/>
          <w:iCs/>
        </w:rPr>
        <w:t xml:space="preserve">before </w:t>
      </w:r>
      <w:r>
        <w:t xml:space="preserve">class for the </w:t>
      </w:r>
      <w:r w:rsidRPr="00810EE6">
        <w:t>day next to which it is listed.</w:t>
      </w:r>
      <w:r>
        <w:t xml:space="preserve"> For example, read the Sol </w:t>
      </w:r>
      <w:proofErr w:type="spellStart"/>
      <w:r>
        <w:t>LeWitt</w:t>
      </w:r>
      <w:proofErr w:type="spellEnd"/>
      <w:r>
        <w:t xml:space="preserve"> texts before </w:t>
      </w:r>
      <w:r w:rsidR="007425ED">
        <w:t>10am on Tuesday, October 5</w:t>
      </w:r>
      <w:r w:rsidR="007425ED" w:rsidRPr="007425ED">
        <w:rPr>
          <w:vertAlign w:val="superscript"/>
        </w:rPr>
        <w:t>th</w:t>
      </w:r>
      <w:r w:rsidR="007425ED">
        <w:t xml:space="preserve">. </w:t>
      </w:r>
    </w:p>
    <w:p w14:paraId="5154CB8D" w14:textId="77777777" w:rsidR="00810EE6" w:rsidRPr="00810EE6" w:rsidRDefault="00810EE6" w:rsidP="00810EE6"/>
    <w:tbl>
      <w:tblPr>
        <w:tblStyle w:val="TableGrid"/>
        <w:tblW w:w="0" w:type="auto"/>
        <w:tblLook w:val="04A0" w:firstRow="1" w:lastRow="0" w:firstColumn="1" w:lastColumn="0" w:noHBand="0" w:noVBand="1"/>
      </w:tblPr>
      <w:tblGrid>
        <w:gridCol w:w="1255"/>
        <w:gridCol w:w="8095"/>
      </w:tblGrid>
      <w:tr w:rsidR="002B2B3F" w14:paraId="07E7FB97" w14:textId="77777777" w:rsidTr="00BB4313">
        <w:tc>
          <w:tcPr>
            <w:tcW w:w="1255" w:type="dxa"/>
          </w:tcPr>
          <w:p w14:paraId="73E66E2C" w14:textId="58C13866" w:rsidR="002B2B3F" w:rsidRDefault="00BB4313">
            <w:r>
              <w:t xml:space="preserve">Th </w:t>
            </w:r>
            <w:r w:rsidR="002B2B3F">
              <w:t>9/30</w:t>
            </w:r>
          </w:p>
        </w:tc>
        <w:tc>
          <w:tcPr>
            <w:tcW w:w="8095" w:type="dxa"/>
          </w:tcPr>
          <w:p w14:paraId="0AE9A6CD" w14:textId="2DA9C39C" w:rsidR="002B2B3F" w:rsidRDefault="000C2D47">
            <w:r>
              <w:t xml:space="preserve">Course introduction </w:t>
            </w:r>
            <w:r w:rsidR="00920006">
              <w:t xml:space="preserve">and syllabus discussion </w:t>
            </w:r>
          </w:p>
          <w:p w14:paraId="64C1F69C" w14:textId="001EAEB2" w:rsidR="00FE4429" w:rsidRDefault="00FE4429"/>
          <w:p w14:paraId="342084FB" w14:textId="5181160F" w:rsidR="00FE4429" w:rsidRPr="00EA7F49" w:rsidRDefault="00FE4429">
            <w:pPr>
              <w:rPr>
                <w:sz w:val="22"/>
                <w:szCs w:val="22"/>
              </w:rPr>
            </w:pPr>
            <w:r w:rsidRPr="00EA7F49">
              <w:rPr>
                <w:sz w:val="22"/>
                <w:szCs w:val="22"/>
              </w:rPr>
              <w:lastRenderedPageBreak/>
              <w:t xml:space="preserve">Luis </w:t>
            </w:r>
            <w:proofErr w:type="spellStart"/>
            <w:r w:rsidRPr="00EA7F49">
              <w:rPr>
                <w:sz w:val="22"/>
                <w:szCs w:val="22"/>
              </w:rPr>
              <w:t>Camnitzer</w:t>
            </w:r>
            <w:proofErr w:type="spellEnd"/>
            <w:r w:rsidRPr="00EA7F49">
              <w:rPr>
                <w:sz w:val="22"/>
                <w:szCs w:val="22"/>
              </w:rPr>
              <w:t xml:space="preserve">, Jane </w:t>
            </w:r>
            <w:proofErr w:type="spellStart"/>
            <w:r w:rsidRPr="00EA7F49">
              <w:rPr>
                <w:sz w:val="22"/>
                <w:szCs w:val="22"/>
              </w:rPr>
              <w:t>Farver</w:t>
            </w:r>
            <w:proofErr w:type="spellEnd"/>
            <w:r w:rsidRPr="00EA7F49">
              <w:rPr>
                <w:sz w:val="22"/>
                <w:szCs w:val="22"/>
              </w:rPr>
              <w:t xml:space="preserve">, and Rachel Weiss, “Forward,” </w:t>
            </w:r>
            <w:r w:rsidR="005E0F6A">
              <w:rPr>
                <w:sz w:val="22"/>
                <w:szCs w:val="22"/>
              </w:rPr>
              <w:t xml:space="preserve">in </w:t>
            </w:r>
            <w:r w:rsidR="005E0F6A" w:rsidRPr="00EA7F49">
              <w:rPr>
                <w:sz w:val="22"/>
                <w:szCs w:val="22"/>
              </w:rPr>
              <w:t xml:space="preserve">Luis </w:t>
            </w:r>
            <w:proofErr w:type="spellStart"/>
            <w:r w:rsidR="005E0F6A" w:rsidRPr="00EA7F49">
              <w:rPr>
                <w:sz w:val="22"/>
                <w:szCs w:val="22"/>
              </w:rPr>
              <w:t>Camnitzer</w:t>
            </w:r>
            <w:proofErr w:type="spellEnd"/>
            <w:r w:rsidR="005E0F6A" w:rsidRPr="00EA7F49">
              <w:rPr>
                <w:sz w:val="22"/>
                <w:szCs w:val="22"/>
              </w:rPr>
              <w:t xml:space="preserve"> et. al. </w:t>
            </w:r>
            <w:r w:rsidR="005E0F6A">
              <w:rPr>
                <w:sz w:val="22"/>
                <w:szCs w:val="22"/>
              </w:rPr>
              <w:t>eds.,</w:t>
            </w:r>
            <w:r w:rsidRPr="00EA7F49">
              <w:rPr>
                <w:sz w:val="22"/>
                <w:szCs w:val="22"/>
              </w:rPr>
              <w:t xml:space="preserve"> </w:t>
            </w:r>
            <w:r w:rsidRPr="00EA7F49">
              <w:rPr>
                <w:i/>
                <w:iCs/>
                <w:sz w:val="22"/>
                <w:szCs w:val="22"/>
              </w:rPr>
              <w:t>Global Conceptualism: Points of Origin 1950s-1980s</w:t>
            </w:r>
            <w:r w:rsidR="005E0F6A">
              <w:rPr>
                <w:i/>
                <w:iCs/>
                <w:sz w:val="22"/>
                <w:szCs w:val="22"/>
              </w:rPr>
              <w:t>.</w:t>
            </w:r>
            <w:r w:rsidRPr="00EA7F49">
              <w:rPr>
                <w:sz w:val="22"/>
                <w:szCs w:val="22"/>
              </w:rPr>
              <w:t xml:space="preserve"> New York: Queens Museum of Art, 1999, pp. vii-xi. </w:t>
            </w:r>
          </w:p>
          <w:p w14:paraId="2E593976" w14:textId="2FFE24AE" w:rsidR="00FE4429" w:rsidRPr="00EA7F49" w:rsidRDefault="00FE4429">
            <w:pPr>
              <w:rPr>
                <w:sz w:val="22"/>
                <w:szCs w:val="22"/>
              </w:rPr>
            </w:pPr>
          </w:p>
          <w:p w14:paraId="71D30227" w14:textId="038FB9CC" w:rsidR="00920006" w:rsidRPr="00EA7F49" w:rsidRDefault="00FE4429" w:rsidP="00EA7F49">
            <w:pPr>
              <w:rPr>
                <w:sz w:val="22"/>
                <w:szCs w:val="22"/>
              </w:rPr>
            </w:pPr>
            <w:r w:rsidRPr="00EA7F49">
              <w:rPr>
                <w:sz w:val="22"/>
                <w:szCs w:val="22"/>
              </w:rPr>
              <w:t xml:space="preserve">Alexander </w:t>
            </w:r>
            <w:proofErr w:type="spellStart"/>
            <w:r w:rsidRPr="00EA7F49">
              <w:rPr>
                <w:sz w:val="22"/>
                <w:szCs w:val="22"/>
              </w:rPr>
              <w:t>Alberro</w:t>
            </w:r>
            <w:proofErr w:type="spellEnd"/>
            <w:r w:rsidRPr="00EA7F49">
              <w:rPr>
                <w:sz w:val="22"/>
                <w:szCs w:val="22"/>
              </w:rPr>
              <w:t>, “Reconsidering Conceptual Art: 1966-1977,” in</w:t>
            </w:r>
            <w:r w:rsidR="005E0F6A">
              <w:rPr>
                <w:sz w:val="22"/>
                <w:szCs w:val="22"/>
              </w:rPr>
              <w:t xml:space="preserve"> </w:t>
            </w:r>
            <w:r w:rsidR="005E0F6A" w:rsidRPr="00EA7F49">
              <w:rPr>
                <w:sz w:val="22"/>
                <w:szCs w:val="22"/>
              </w:rPr>
              <w:t xml:space="preserve">Alexander </w:t>
            </w:r>
            <w:proofErr w:type="spellStart"/>
            <w:r w:rsidR="005E0F6A" w:rsidRPr="00EA7F49">
              <w:rPr>
                <w:sz w:val="22"/>
                <w:szCs w:val="22"/>
              </w:rPr>
              <w:t>Alberro</w:t>
            </w:r>
            <w:proofErr w:type="spellEnd"/>
            <w:r w:rsidR="005E0F6A" w:rsidRPr="00EA7F49">
              <w:rPr>
                <w:sz w:val="22"/>
                <w:szCs w:val="22"/>
              </w:rPr>
              <w:t xml:space="preserve"> and Blake Stimson</w:t>
            </w:r>
            <w:r w:rsidR="005E0F6A">
              <w:rPr>
                <w:sz w:val="22"/>
                <w:szCs w:val="22"/>
              </w:rPr>
              <w:t xml:space="preserve"> eds.,</w:t>
            </w:r>
            <w:r w:rsidRPr="00EA7F49">
              <w:rPr>
                <w:sz w:val="22"/>
                <w:szCs w:val="22"/>
              </w:rPr>
              <w:t xml:space="preserve"> </w:t>
            </w:r>
            <w:r w:rsidRPr="00EA7F49">
              <w:rPr>
                <w:i/>
                <w:iCs/>
                <w:sz w:val="22"/>
                <w:szCs w:val="22"/>
              </w:rPr>
              <w:t>Conceptual Art: A Critical Anthology</w:t>
            </w:r>
            <w:r w:rsidRPr="00EA7F49">
              <w:rPr>
                <w:sz w:val="22"/>
                <w:szCs w:val="22"/>
              </w:rPr>
              <w:t xml:space="preserve">. Cambridge: MIT Press, 1999, </w:t>
            </w:r>
            <w:r w:rsidR="00EA7F49" w:rsidRPr="00EA7F49">
              <w:rPr>
                <w:sz w:val="22"/>
                <w:szCs w:val="22"/>
              </w:rPr>
              <w:t>xvi-xxxvii.</w:t>
            </w:r>
          </w:p>
          <w:p w14:paraId="6A1D7A41" w14:textId="52FA927F" w:rsidR="00EA7F49" w:rsidRDefault="00EA7F49" w:rsidP="00EA7F49"/>
        </w:tc>
      </w:tr>
      <w:tr w:rsidR="002B2B3F" w14:paraId="24D73BF0" w14:textId="77777777" w:rsidTr="00BB4313">
        <w:tc>
          <w:tcPr>
            <w:tcW w:w="1255" w:type="dxa"/>
          </w:tcPr>
          <w:p w14:paraId="69AB7983" w14:textId="2B3B2D64" w:rsidR="002B2B3F" w:rsidRDefault="00BB4313">
            <w:r>
              <w:lastRenderedPageBreak/>
              <w:t>T 10/5</w:t>
            </w:r>
          </w:p>
        </w:tc>
        <w:tc>
          <w:tcPr>
            <w:tcW w:w="8095" w:type="dxa"/>
          </w:tcPr>
          <w:p w14:paraId="24448D73" w14:textId="4C9FA778" w:rsidR="002B2B3F" w:rsidRDefault="006D7E46">
            <w:r>
              <w:t xml:space="preserve">Early articulations </w:t>
            </w:r>
          </w:p>
          <w:p w14:paraId="23E89198" w14:textId="2C263662" w:rsidR="004707E3" w:rsidRDefault="004707E3"/>
          <w:p w14:paraId="51010FFD" w14:textId="3BD77365" w:rsidR="004707E3" w:rsidRPr="005E0F6A" w:rsidRDefault="004707E3">
            <w:pPr>
              <w:rPr>
                <w:sz w:val="22"/>
                <w:szCs w:val="22"/>
              </w:rPr>
            </w:pPr>
            <w:r w:rsidRPr="005E0F6A">
              <w:rPr>
                <w:sz w:val="22"/>
                <w:szCs w:val="22"/>
              </w:rPr>
              <w:t xml:space="preserve">Sol </w:t>
            </w:r>
            <w:proofErr w:type="spellStart"/>
            <w:r w:rsidRPr="005E0F6A">
              <w:rPr>
                <w:sz w:val="22"/>
                <w:szCs w:val="22"/>
              </w:rPr>
              <w:t>Lewitt</w:t>
            </w:r>
            <w:proofErr w:type="spellEnd"/>
            <w:r w:rsidRPr="005E0F6A">
              <w:rPr>
                <w:sz w:val="22"/>
                <w:szCs w:val="22"/>
              </w:rPr>
              <w:t>, “Paragraphs on Conceptual Art (1967)” and “Sentences on Conceptual Art (1969),” in</w:t>
            </w:r>
            <w:r w:rsidR="005E0F6A" w:rsidRPr="005E0F6A">
              <w:rPr>
                <w:sz w:val="22"/>
                <w:szCs w:val="22"/>
              </w:rPr>
              <w:t xml:space="preserve"> Kristine Stiles and Peter </w:t>
            </w:r>
            <w:proofErr w:type="spellStart"/>
            <w:r w:rsidR="005E0F6A" w:rsidRPr="005E0F6A">
              <w:rPr>
                <w:sz w:val="22"/>
                <w:szCs w:val="22"/>
              </w:rPr>
              <w:t>Selz</w:t>
            </w:r>
            <w:proofErr w:type="spellEnd"/>
            <w:r w:rsidR="005E0F6A" w:rsidRPr="005E0F6A">
              <w:rPr>
                <w:sz w:val="22"/>
                <w:szCs w:val="22"/>
              </w:rPr>
              <w:t xml:space="preserve">, ed. </w:t>
            </w:r>
            <w:r w:rsidRPr="005E0F6A">
              <w:rPr>
                <w:sz w:val="22"/>
                <w:szCs w:val="22"/>
              </w:rPr>
              <w:t xml:space="preserve"> </w:t>
            </w:r>
            <w:r w:rsidRPr="005E0F6A">
              <w:rPr>
                <w:i/>
                <w:iCs/>
                <w:sz w:val="22"/>
                <w:szCs w:val="22"/>
              </w:rPr>
              <w:t>Theories and Documents of Contemporary Art: A Sourcebook of Artists' Writings</w:t>
            </w:r>
            <w:r w:rsidRPr="005E0F6A">
              <w:rPr>
                <w:sz w:val="22"/>
                <w:szCs w:val="22"/>
              </w:rPr>
              <w:t xml:space="preserve">. Berkeley: University of California Press, 1998, pp. 987-991. </w:t>
            </w:r>
          </w:p>
          <w:p w14:paraId="5372AA94" w14:textId="7106D524" w:rsidR="005E0F6A" w:rsidRPr="005E0F6A" w:rsidRDefault="005E0F6A">
            <w:pPr>
              <w:rPr>
                <w:sz w:val="22"/>
                <w:szCs w:val="22"/>
              </w:rPr>
            </w:pPr>
          </w:p>
          <w:p w14:paraId="2E2BBD11" w14:textId="5B4D840F" w:rsidR="005E0F6A" w:rsidRPr="005E0F6A" w:rsidRDefault="005E0F6A">
            <w:pPr>
              <w:rPr>
                <w:sz w:val="22"/>
                <w:szCs w:val="22"/>
              </w:rPr>
            </w:pPr>
            <w:proofErr w:type="spellStart"/>
            <w:r w:rsidRPr="005E0F6A">
              <w:rPr>
                <w:sz w:val="22"/>
                <w:szCs w:val="22"/>
              </w:rPr>
              <w:t>Hélio</w:t>
            </w:r>
            <w:proofErr w:type="spellEnd"/>
            <w:r w:rsidRPr="005E0F6A">
              <w:rPr>
                <w:sz w:val="22"/>
                <w:szCs w:val="22"/>
              </w:rPr>
              <w:t xml:space="preserve"> </w:t>
            </w:r>
            <w:proofErr w:type="spellStart"/>
            <w:r w:rsidRPr="005E0F6A">
              <w:rPr>
                <w:sz w:val="22"/>
                <w:szCs w:val="22"/>
              </w:rPr>
              <w:t>Oiticica</w:t>
            </w:r>
            <w:proofErr w:type="spellEnd"/>
            <w:r w:rsidRPr="005E0F6A">
              <w:rPr>
                <w:sz w:val="22"/>
                <w:szCs w:val="22"/>
              </w:rPr>
              <w:t xml:space="preserve">, “Position and Program (1966),” in </w:t>
            </w:r>
            <w:proofErr w:type="spellStart"/>
            <w:r w:rsidRPr="005E0F6A">
              <w:rPr>
                <w:sz w:val="22"/>
                <w:szCs w:val="22"/>
              </w:rPr>
              <w:t>Alberro</w:t>
            </w:r>
            <w:proofErr w:type="spellEnd"/>
            <w:r w:rsidRPr="005E0F6A">
              <w:rPr>
                <w:sz w:val="22"/>
                <w:szCs w:val="22"/>
              </w:rPr>
              <w:t xml:space="preserve"> and Stimson, pp. 8-10.</w:t>
            </w:r>
          </w:p>
          <w:p w14:paraId="47D00AF7" w14:textId="13418591" w:rsidR="005E0F6A" w:rsidRPr="005E0F6A" w:rsidRDefault="005E0F6A">
            <w:pPr>
              <w:rPr>
                <w:sz w:val="22"/>
                <w:szCs w:val="22"/>
              </w:rPr>
            </w:pPr>
          </w:p>
          <w:p w14:paraId="53ADCB5D" w14:textId="13697A22" w:rsidR="005E0F6A" w:rsidRPr="005E0F6A" w:rsidRDefault="005E0F6A">
            <w:pPr>
              <w:rPr>
                <w:sz w:val="22"/>
                <w:szCs w:val="22"/>
              </w:rPr>
            </w:pPr>
            <w:r w:rsidRPr="005E0F6A">
              <w:rPr>
                <w:sz w:val="22"/>
                <w:szCs w:val="22"/>
              </w:rPr>
              <w:t xml:space="preserve">Eduardo Costa, Raúl </w:t>
            </w:r>
            <w:proofErr w:type="spellStart"/>
            <w:r w:rsidRPr="005E0F6A">
              <w:rPr>
                <w:sz w:val="22"/>
                <w:szCs w:val="22"/>
              </w:rPr>
              <w:t>Escari</w:t>
            </w:r>
            <w:proofErr w:type="spellEnd"/>
            <w:r w:rsidRPr="005E0F6A">
              <w:rPr>
                <w:sz w:val="22"/>
                <w:szCs w:val="22"/>
              </w:rPr>
              <w:t xml:space="preserve">, Roberto Jacoby, “A media art (manifesto) (1966),” in </w:t>
            </w:r>
            <w:proofErr w:type="spellStart"/>
            <w:r w:rsidRPr="005E0F6A">
              <w:rPr>
                <w:sz w:val="22"/>
                <w:szCs w:val="22"/>
              </w:rPr>
              <w:t>Alberro</w:t>
            </w:r>
            <w:proofErr w:type="spellEnd"/>
            <w:r w:rsidRPr="005E0F6A">
              <w:rPr>
                <w:sz w:val="22"/>
                <w:szCs w:val="22"/>
              </w:rPr>
              <w:t xml:space="preserve"> and Stimson, pp. 2-4. </w:t>
            </w:r>
          </w:p>
          <w:p w14:paraId="2A1AC51D" w14:textId="6008AF24" w:rsidR="006D7E46" w:rsidRPr="005E0F6A" w:rsidRDefault="006D7E46">
            <w:pPr>
              <w:rPr>
                <w:sz w:val="22"/>
                <w:szCs w:val="22"/>
              </w:rPr>
            </w:pPr>
          </w:p>
          <w:p w14:paraId="4C9539D3" w14:textId="77777777" w:rsidR="002E21B9" w:rsidRPr="005E0F6A" w:rsidRDefault="005E0F6A">
            <w:pPr>
              <w:rPr>
                <w:sz w:val="22"/>
                <w:szCs w:val="22"/>
              </w:rPr>
            </w:pPr>
            <w:r w:rsidRPr="005E0F6A">
              <w:rPr>
                <w:sz w:val="22"/>
                <w:szCs w:val="22"/>
              </w:rPr>
              <w:t xml:space="preserve">Jerzy </w:t>
            </w:r>
            <w:r w:rsidR="006D7E46" w:rsidRPr="005E0F6A">
              <w:rPr>
                <w:sz w:val="22"/>
                <w:szCs w:val="22"/>
              </w:rPr>
              <w:t>Grotowski</w:t>
            </w:r>
            <w:r w:rsidRPr="005E0F6A">
              <w:rPr>
                <w:sz w:val="22"/>
                <w:szCs w:val="22"/>
              </w:rPr>
              <w:t xml:space="preserve">, “Towards a Poor Theatre (1965),” in Eugenio Barba ed., </w:t>
            </w:r>
            <w:r w:rsidRPr="005E0F6A">
              <w:rPr>
                <w:i/>
                <w:iCs/>
                <w:sz w:val="22"/>
                <w:szCs w:val="22"/>
              </w:rPr>
              <w:t>Towards a Poor Theatre: Jerzy Grotowski</w:t>
            </w:r>
            <w:r w:rsidRPr="005E0F6A">
              <w:rPr>
                <w:sz w:val="22"/>
                <w:szCs w:val="22"/>
              </w:rPr>
              <w:t xml:space="preserve">. New York: Routledge, 2002, pp. 15-25. </w:t>
            </w:r>
          </w:p>
          <w:p w14:paraId="7261967D" w14:textId="234FEF1F" w:rsidR="005E0F6A" w:rsidRPr="00810EE6" w:rsidRDefault="005E0F6A"/>
        </w:tc>
      </w:tr>
      <w:tr w:rsidR="002B2B3F" w14:paraId="4E958DE2" w14:textId="77777777" w:rsidTr="00BB4313">
        <w:tc>
          <w:tcPr>
            <w:tcW w:w="1255" w:type="dxa"/>
          </w:tcPr>
          <w:p w14:paraId="702329D8" w14:textId="4573E745" w:rsidR="002B2B3F" w:rsidRDefault="00BB4313">
            <w:r>
              <w:t>Th 10/7</w:t>
            </w:r>
          </w:p>
        </w:tc>
        <w:tc>
          <w:tcPr>
            <w:tcW w:w="8095" w:type="dxa"/>
          </w:tcPr>
          <w:p w14:paraId="72DA7AFD" w14:textId="77777777" w:rsidR="00990FF9" w:rsidRDefault="00990FF9" w:rsidP="00990FF9">
            <w:r>
              <w:t xml:space="preserve">Fluxus </w:t>
            </w:r>
          </w:p>
          <w:p w14:paraId="42AD2E7A" w14:textId="77777777" w:rsidR="00990FF9" w:rsidRDefault="00990FF9" w:rsidP="00990FF9"/>
          <w:p w14:paraId="3CB12CDE" w14:textId="6201B5BB" w:rsidR="00990FF9" w:rsidRDefault="00990FF9">
            <w:pPr>
              <w:rPr>
                <w:i/>
                <w:iCs/>
                <w:sz w:val="22"/>
                <w:szCs w:val="22"/>
              </w:rPr>
            </w:pPr>
            <w:proofErr w:type="spellStart"/>
            <w:r w:rsidRPr="00990FF9">
              <w:rPr>
                <w:sz w:val="22"/>
                <w:szCs w:val="22"/>
              </w:rPr>
              <w:t>Natilee</w:t>
            </w:r>
            <w:proofErr w:type="spellEnd"/>
            <w:r w:rsidRPr="00990FF9">
              <w:rPr>
                <w:sz w:val="22"/>
                <w:szCs w:val="22"/>
              </w:rPr>
              <w:t xml:space="preserve"> </w:t>
            </w:r>
            <w:proofErr w:type="spellStart"/>
            <w:r w:rsidRPr="00990FF9">
              <w:rPr>
                <w:sz w:val="22"/>
                <w:szCs w:val="22"/>
              </w:rPr>
              <w:t>Harren</w:t>
            </w:r>
            <w:proofErr w:type="spellEnd"/>
            <w:r w:rsidRPr="00990FF9">
              <w:rPr>
                <w:sz w:val="22"/>
                <w:szCs w:val="22"/>
              </w:rPr>
              <w:t xml:space="preserve">, “George </w:t>
            </w:r>
            <w:proofErr w:type="spellStart"/>
            <w:r w:rsidRPr="00990FF9">
              <w:rPr>
                <w:sz w:val="22"/>
                <w:szCs w:val="22"/>
              </w:rPr>
              <w:t>Maciunas</w:t>
            </w:r>
            <w:proofErr w:type="spellEnd"/>
            <w:r w:rsidRPr="00990FF9">
              <w:rPr>
                <w:sz w:val="22"/>
                <w:szCs w:val="22"/>
              </w:rPr>
              <w:t xml:space="preserve">, </w:t>
            </w:r>
            <w:proofErr w:type="spellStart"/>
            <w:r w:rsidRPr="00990FF9">
              <w:rPr>
                <w:sz w:val="22"/>
                <w:szCs w:val="22"/>
              </w:rPr>
              <w:t>Fluxboxes</w:t>
            </w:r>
            <w:proofErr w:type="spellEnd"/>
            <w:r w:rsidRPr="00990FF9">
              <w:rPr>
                <w:sz w:val="22"/>
                <w:szCs w:val="22"/>
              </w:rPr>
              <w:t xml:space="preserve">, and the Transitional Commodity,” in </w:t>
            </w:r>
            <w:r w:rsidRPr="00990FF9">
              <w:rPr>
                <w:i/>
                <w:iCs/>
                <w:sz w:val="22"/>
                <w:szCs w:val="22"/>
              </w:rPr>
              <w:t>Fluxus Forms: Scores, Multiples, and the Eternal Network</w:t>
            </w:r>
            <w:r w:rsidRPr="00990FF9">
              <w:rPr>
                <w:sz w:val="22"/>
                <w:szCs w:val="22"/>
              </w:rPr>
              <w:t>. Chicago: University of Chicago Press, 2020, pp. 133-168.</w:t>
            </w:r>
            <w:r w:rsidRPr="00990FF9">
              <w:rPr>
                <w:i/>
                <w:iCs/>
                <w:sz w:val="22"/>
                <w:szCs w:val="22"/>
              </w:rPr>
              <w:t xml:space="preserve"> </w:t>
            </w:r>
          </w:p>
          <w:p w14:paraId="76A5A677" w14:textId="586AD937" w:rsidR="001462DC" w:rsidRPr="001462DC" w:rsidRDefault="001462DC">
            <w:pPr>
              <w:rPr>
                <w:b/>
                <w:bCs/>
                <w:sz w:val="22"/>
                <w:szCs w:val="22"/>
              </w:rPr>
            </w:pPr>
            <w:r>
              <w:rPr>
                <w:b/>
                <w:bCs/>
                <w:sz w:val="22"/>
                <w:szCs w:val="22"/>
              </w:rPr>
              <w:t xml:space="preserve">Hypothes.is annotation opportunity </w:t>
            </w:r>
          </w:p>
          <w:p w14:paraId="6872DC69" w14:textId="197E9E89" w:rsidR="00C34D92" w:rsidRDefault="00C34D92">
            <w:pPr>
              <w:rPr>
                <w:i/>
                <w:iCs/>
                <w:sz w:val="22"/>
                <w:szCs w:val="22"/>
              </w:rPr>
            </w:pPr>
          </w:p>
          <w:p w14:paraId="2994A0F2" w14:textId="067A02C8" w:rsidR="00C34D92" w:rsidRPr="00C34D92" w:rsidRDefault="00C34D92">
            <w:pPr>
              <w:rPr>
                <w:b/>
                <w:bCs/>
              </w:rPr>
            </w:pPr>
            <w:r w:rsidRPr="00C34D92">
              <w:rPr>
                <w:b/>
                <w:bCs/>
              </w:rPr>
              <w:t>Introductory writing assignment due on Canvas at 11:59pm on Monday, October 11</w:t>
            </w:r>
            <w:r w:rsidRPr="00C34D92">
              <w:rPr>
                <w:b/>
                <w:bCs/>
                <w:vertAlign w:val="superscript"/>
              </w:rPr>
              <w:t>th</w:t>
            </w:r>
            <w:r w:rsidRPr="00C34D92">
              <w:rPr>
                <w:b/>
                <w:bCs/>
              </w:rPr>
              <w:t xml:space="preserve"> </w:t>
            </w:r>
          </w:p>
          <w:p w14:paraId="10094480" w14:textId="6AFDF80A" w:rsidR="002B2B3F" w:rsidRDefault="002B2B3F" w:rsidP="00990FF9"/>
        </w:tc>
      </w:tr>
      <w:tr w:rsidR="002B2B3F" w14:paraId="2D20A396" w14:textId="77777777" w:rsidTr="00BB4313">
        <w:tc>
          <w:tcPr>
            <w:tcW w:w="1255" w:type="dxa"/>
          </w:tcPr>
          <w:p w14:paraId="5A70F775" w14:textId="1FCB092A" w:rsidR="002B2B3F" w:rsidRDefault="00BB4313">
            <w:r>
              <w:t>T 10/12</w:t>
            </w:r>
          </w:p>
        </w:tc>
        <w:tc>
          <w:tcPr>
            <w:tcW w:w="8095" w:type="dxa"/>
          </w:tcPr>
          <w:p w14:paraId="07AC902D" w14:textId="1E595232" w:rsidR="00990FF9" w:rsidRDefault="00990FF9" w:rsidP="00990FF9">
            <w:r>
              <w:t>Dematerialization</w:t>
            </w:r>
          </w:p>
          <w:p w14:paraId="54FF674C" w14:textId="652AAA18" w:rsidR="00506CC1" w:rsidRDefault="00506CC1" w:rsidP="00990FF9"/>
          <w:p w14:paraId="30CC529B" w14:textId="35D7BD89" w:rsidR="00506CC1" w:rsidRPr="00506CC1" w:rsidRDefault="00506CC1" w:rsidP="00990FF9">
            <w:pPr>
              <w:rPr>
                <w:b/>
                <w:bCs/>
                <w:sz w:val="22"/>
                <w:szCs w:val="22"/>
              </w:rPr>
            </w:pPr>
            <w:r w:rsidRPr="00506CC1">
              <w:rPr>
                <w:b/>
                <w:bCs/>
                <w:sz w:val="22"/>
                <w:szCs w:val="22"/>
              </w:rPr>
              <w:t xml:space="preserve">One presentation slot: 1) Lippard &amp; Chandler and Atkinson </w:t>
            </w:r>
          </w:p>
          <w:p w14:paraId="0223B637" w14:textId="77777777" w:rsidR="00990FF9" w:rsidRDefault="00990FF9" w:rsidP="00990FF9"/>
          <w:p w14:paraId="2F12015F" w14:textId="77777777" w:rsidR="00990FF9" w:rsidRPr="004D70A2" w:rsidRDefault="00990FF9" w:rsidP="00990FF9">
            <w:pPr>
              <w:rPr>
                <w:sz w:val="22"/>
                <w:szCs w:val="22"/>
              </w:rPr>
            </w:pPr>
            <w:r>
              <w:rPr>
                <w:sz w:val="22"/>
                <w:szCs w:val="22"/>
              </w:rPr>
              <w:t>***</w:t>
            </w:r>
            <w:r w:rsidRPr="004D70A2">
              <w:rPr>
                <w:sz w:val="22"/>
                <w:szCs w:val="22"/>
              </w:rPr>
              <w:t xml:space="preserve">Lucy Lippard and John Chandler, “The Dematerialization of Art (1967)” in </w:t>
            </w:r>
            <w:proofErr w:type="spellStart"/>
            <w:r w:rsidRPr="004D70A2">
              <w:rPr>
                <w:sz w:val="22"/>
                <w:szCs w:val="22"/>
              </w:rPr>
              <w:t>Alberro</w:t>
            </w:r>
            <w:proofErr w:type="spellEnd"/>
            <w:r w:rsidRPr="004D70A2">
              <w:rPr>
                <w:sz w:val="22"/>
                <w:szCs w:val="22"/>
              </w:rPr>
              <w:t xml:space="preserve"> and Stimson, pp. 46-50.</w:t>
            </w:r>
          </w:p>
          <w:p w14:paraId="60CB657D" w14:textId="77777777" w:rsidR="00990FF9" w:rsidRPr="004D70A2" w:rsidRDefault="00990FF9" w:rsidP="00990FF9">
            <w:pPr>
              <w:rPr>
                <w:sz w:val="22"/>
                <w:szCs w:val="22"/>
              </w:rPr>
            </w:pPr>
          </w:p>
          <w:p w14:paraId="7601644B" w14:textId="77777777" w:rsidR="00990FF9" w:rsidRPr="004D70A2" w:rsidRDefault="00990FF9" w:rsidP="00990FF9">
            <w:pPr>
              <w:rPr>
                <w:sz w:val="22"/>
                <w:szCs w:val="22"/>
              </w:rPr>
            </w:pPr>
            <w:r>
              <w:rPr>
                <w:sz w:val="22"/>
                <w:szCs w:val="22"/>
              </w:rPr>
              <w:t>***</w:t>
            </w:r>
            <w:r w:rsidRPr="004D70A2">
              <w:rPr>
                <w:sz w:val="22"/>
                <w:szCs w:val="22"/>
              </w:rPr>
              <w:t xml:space="preserve">Terry Atkinson, “Concerning the Article: ‘The Dematerialization of Art’ (1968)” in </w:t>
            </w:r>
            <w:proofErr w:type="spellStart"/>
            <w:r w:rsidRPr="004D70A2">
              <w:rPr>
                <w:sz w:val="22"/>
                <w:szCs w:val="22"/>
              </w:rPr>
              <w:t>Alberro</w:t>
            </w:r>
            <w:proofErr w:type="spellEnd"/>
            <w:r w:rsidRPr="004D70A2">
              <w:rPr>
                <w:sz w:val="22"/>
                <w:szCs w:val="22"/>
              </w:rPr>
              <w:t xml:space="preserve"> and Stimson, 52-58. </w:t>
            </w:r>
          </w:p>
          <w:p w14:paraId="34621C08" w14:textId="77777777" w:rsidR="00990FF9" w:rsidRPr="004D70A2" w:rsidRDefault="00990FF9" w:rsidP="00990FF9">
            <w:pPr>
              <w:rPr>
                <w:sz w:val="22"/>
                <w:szCs w:val="22"/>
              </w:rPr>
            </w:pPr>
          </w:p>
          <w:p w14:paraId="32DA2DCF" w14:textId="001ED46D" w:rsidR="00990FF9" w:rsidRPr="004D70A2" w:rsidRDefault="00990FF9" w:rsidP="00990FF9">
            <w:pPr>
              <w:rPr>
                <w:sz w:val="22"/>
                <w:szCs w:val="22"/>
              </w:rPr>
            </w:pPr>
            <w:r w:rsidRPr="004D70A2">
              <w:rPr>
                <w:sz w:val="22"/>
                <w:szCs w:val="22"/>
              </w:rPr>
              <w:t xml:space="preserve">Branka </w:t>
            </w:r>
            <w:r w:rsidRPr="004D70A2">
              <w:rPr>
                <w:sz w:val="22"/>
                <w:szCs w:val="22"/>
                <w:lang w:val="hr-HR"/>
              </w:rPr>
              <w:t xml:space="preserve">Stipančić, </w:t>
            </w:r>
            <w:r w:rsidRPr="004D70A2">
              <w:rPr>
                <w:sz w:val="22"/>
                <w:szCs w:val="22"/>
              </w:rPr>
              <w:t xml:space="preserve">“Lines (1979),” translated in </w:t>
            </w:r>
            <w:proofErr w:type="spellStart"/>
            <w:r w:rsidRPr="004D70A2">
              <w:rPr>
                <w:i/>
                <w:iCs/>
                <w:sz w:val="22"/>
                <w:szCs w:val="22"/>
                <w:lang w:val="hr-HR"/>
              </w:rPr>
              <w:t>Parallel</w:t>
            </w:r>
            <w:proofErr w:type="spellEnd"/>
            <w:r w:rsidRPr="004D70A2">
              <w:rPr>
                <w:i/>
                <w:iCs/>
                <w:sz w:val="22"/>
                <w:szCs w:val="22"/>
                <w:lang w:val="hr-HR"/>
              </w:rPr>
              <w:t xml:space="preserve"> </w:t>
            </w:r>
            <w:proofErr w:type="spellStart"/>
            <w:r w:rsidRPr="004D70A2">
              <w:rPr>
                <w:i/>
                <w:iCs/>
                <w:sz w:val="22"/>
                <w:szCs w:val="22"/>
                <w:lang w:val="hr-HR"/>
              </w:rPr>
              <w:t>Chronologies</w:t>
            </w:r>
            <w:proofErr w:type="spellEnd"/>
            <w:r w:rsidRPr="004D70A2">
              <w:rPr>
                <w:i/>
                <w:iCs/>
                <w:sz w:val="22"/>
                <w:szCs w:val="22"/>
                <w:lang w:val="hr-HR"/>
              </w:rPr>
              <w:t xml:space="preserve">: </w:t>
            </w:r>
            <w:proofErr w:type="spellStart"/>
            <w:r w:rsidRPr="004D70A2">
              <w:rPr>
                <w:i/>
                <w:iCs/>
                <w:sz w:val="22"/>
                <w:szCs w:val="22"/>
                <w:lang w:val="hr-HR"/>
              </w:rPr>
              <w:t>An</w:t>
            </w:r>
            <w:proofErr w:type="spellEnd"/>
            <w:r w:rsidRPr="004D70A2">
              <w:rPr>
                <w:i/>
                <w:iCs/>
                <w:sz w:val="22"/>
                <w:szCs w:val="22"/>
                <w:lang w:val="hr-HR"/>
              </w:rPr>
              <w:t xml:space="preserve"> </w:t>
            </w:r>
            <w:proofErr w:type="spellStart"/>
            <w:r w:rsidRPr="004D70A2">
              <w:rPr>
                <w:i/>
                <w:iCs/>
                <w:sz w:val="22"/>
                <w:szCs w:val="22"/>
                <w:lang w:val="hr-HR"/>
              </w:rPr>
              <w:t>Archive</w:t>
            </w:r>
            <w:proofErr w:type="spellEnd"/>
            <w:r w:rsidRPr="004D70A2">
              <w:rPr>
                <w:i/>
                <w:iCs/>
                <w:sz w:val="22"/>
                <w:szCs w:val="22"/>
                <w:lang w:val="hr-HR"/>
              </w:rPr>
              <w:t xml:space="preserve"> </w:t>
            </w:r>
            <w:proofErr w:type="spellStart"/>
            <w:r w:rsidRPr="004D70A2">
              <w:rPr>
                <w:i/>
                <w:iCs/>
                <w:sz w:val="22"/>
                <w:szCs w:val="22"/>
                <w:lang w:val="hr-HR"/>
              </w:rPr>
              <w:t>of</w:t>
            </w:r>
            <w:proofErr w:type="spellEnd"/>
            <w:r w:rsidRPr="004D70A2">
              <w:rPr>
                <w:i/>
                <w:iCs/>
                <w:sz w:val="22"/>
                <w:szCs w:val="22"/>
                <w:lang w:val="hr-HR"/>
              </w:rPr>
              <w:t xml:space="preserve"> East European </w:t>
            </w:r>
            <w:proofErr w:type="spellStart"/>
            <w:r w:rsidRPr="004D70A2">
              <w:rPr>
                <w:i/>
                <w:iCs/>
                <w:sz w:val="22"/>
                <w:szCs w:val="22"/>
                <w:lang w:val="hr-HR"/>
              </w:rPr>
              <w:t>Exibitions</w:t>
            </w:r>
            <w:proofErr w:type="spellEnd"/>
            <w:r w:rsidRPr="004D70A2">
              <w:rPr>
                <w:sz w:val="22"/>
                <w:szCs w:val="22"/>
              </w:rPr>
              <w:t xml:space="preserve"> accessible at </w:t>
            </w:r>
            <w:hyperlink r:id="rId9" w:history="1">
              <w:r w:rsidRPr="004D70A2">
                <w:rPr>
                  <w:rStyle w:val="Hyperlink"/>
                  <w:sz w:val="22"/>
                  <w:szCs w:val="22"/>
                </w:rPr>
                <w:t>http://tranzit.org/exhibitionarchive/texts/branka-stipancic-lines/</w:t>
              </w:r>
            </w:hyperlink>
            <w:r w:rsidRPr="004D70A2">
              <w:rPr>
                <w:sz w:val="22"/>
                <w:szCs w:val="22"/>
              </w:rPr>
              <w:t xml:space="preserve">. </w:t>
            </w:r>
          </w:p>
          <w:p w14:paraId="771C1BF0" w14:textId="77777777" w:rsidR="00990FF9" w:rsidRPr="004D70A2" w:rsidRDefault="00990FF9" w:rsidP="00990FF9">
            <w:pPr>
              <w:rPr>
                <w:sz w:val="22"/>
                <w:szCs w:val="22"/>
              </w:rPr>
            </w:pPr>
          </w:p>
          <w:p w14:paraId="0C68B9CE" w14:textId="77777777" w:rsidR="00990FF9" w:rsidRPr="004D70A2" w:rsidRDefault="00990FF9" w:rsidP="00990FF9">
            <w:pPr>
              <w:rPr>
                <w:sz w:val="22"/>
                <w:szCs w:val="22"/>
              </w:rPr>
            </w:pPr>
            <w:r w:rsidRPr="004D70A2">
              <w:rPr>
                <w:sz w:val="22"/>
                <w:szCs w:val="22"/>
              </w:rPr>
              <w:lastRenderedPageBreak/>
              <w:t xml:space="preserve">Ivana </w:t>
            </w:r>
            <w:proofErr w:type="spellStart"/>
            <w:r w:rsidRPr="004D70A2">
              <w:rPr>
                <w:sz w:val="22"/>
                <w:szCs w:val="22"/>
              </w:rPr>
              <w:t>Bago</w:t>
            </w:r>
            <w:proofErr w:type="spellEnd"/>
            <w:r w:rsidRPr="004D70A2">
              <w:rPr>
                <w:sz w:val="22"/>
                <w:szCs w:val="22"/>
              </w:rPr>
              <w:t xml:space="preserve">, “Lines – exhibition curated by Branka </w:t>
            </w:r>
            <w:proofErr w:type="gramStart"/>
            <w:r w:rsidRPr="004D70A2">
              <w:rPr>
                <w:sz w:val="22"/>
                <w:szCs w:val="22"/>
                <w:lang w:val="hr-HR"/>
              </w:rPr>
              <w:t>Stipančić,“</w:t>
            </w:r>
            <w:proofErr w:type="gramEnd"/>
            <w:r w:rsidRPr="004D70A2">
              <w:rPr>
                <w:sz w:val="22"/>
                <w:szCs w:val="22"/>
                <w:lang w:val="hr-HR"/>
              </w:rPr>
              <w:t xml:space="preserve"> </w:t>
            </w:r>
            <w:proofErr w:type="spellStart"/>
            <w:r w:rsidRPr="004D70A2">
              <w:rPr>
                <w:i/>
                <w:iCs/>
                <w:sz w:val="22"/>
                <w:szCs w:val="22"/>
                <w:lang w:val="hr-HR"/>
              </w:rPr>
              <w:t>Parallel</w:t>
            </w:r>
            <w:proofErr w:type="spellEnd"/>
            <w:r w:rsidRPr="004D70A2">
              <w:rPr>
                <w:i/>
                <w:iCs/>
                <w:sz w:val="22"/>
                <w:szCs w:val="22"/>
                <w:lang w:val="hr-HR"/>
              </w:rPr>
              <w:t xml:space="preserve"> </w:t>
            </w:r>
            <w:proofErr w:type="spellStart"/>
            <w:r w:rsidRPr="004D70A2">
              <w:rPr>
                <w:i/>
                <w:iCs/>
                <w:sz w:val="22"/>
                <w:szCs w:val="22"/>
                <w:lang w:val="hr-HR"/>
              </w:rPr>
              <w:t>Chronologies</w:t>
            </w:r>
            <w:proofErr w:type="spellEnd"/>
            <w:r w:rsidRPr="004D70A2">
              <w:rPr>
                <w:i/>
                <w:iCs/>
                <w:sz w:val="22"/>
                <w:szCs w:val="22"/>
                <w:lang w:val="hr-HR"/>
              </w:rPr>
              <w:t xml:space="preserve">: </w:t>
            </w:r>
            <w:proofErr w:type="spellStart"/>
            <w:r w:rsidRPr="004D70A2">
              <w:rPr>
                <w:i/>
                <w:iCs/>
                <w:sz w:val="22"/>
                <w:szCs w:val="22"/>
                <w:lang w:val="hr-HR"/>
              </w:rPr>
              <w:t>An</w:t>
            </w:r>
            <w:proofErr w:type="spellEnd"/>
            <w:r w:rsidRPr="004D70A2">
              <w:rPr>
                <w:i/>
                <w:iCs/>
                <w:sz w:val="22"/>
                <w:szCs w:val="22"/>
                <w:lang w:val="hr-HR"/>
              </w:rPr>
              <w:t xml:space="preserve"> </w:t>
            </w:r>
            <w:proofErr w:type="spellStart"/>
            <w:r w:rsidRPr="004D70A2">
              <w:rPr>
                <w:i/>
                <w:iCs/>
                <w:sz w:val="22"/>
                <w:szCs w:val="22"/>
                <w:lang w:val="hr-HR"/>
              </w:rPr>
              <w:t>Archive</w:t>
            </w:r>
            <w:proofErr w:type="spellEnd"/>
            <w:r w:rsidRPr="004D70A2">
              <w:rPr>
                <w:i/>
                <w:iCs/>
                <w:sz w:val="22"/>
                <w:szCs w:val="22"/>
                <w:lang w:val="hr-HR"/>
              </w:rPr>
              <w:t xml:space="preserve"> </w:t>
            </w:r>
            <w:proofErr w:type="spellStart"/>
            <w:r w:rsidRPr="004D70A2">
              <w:rPr>
                <w:i/>
                <w:iCs/>
                <w:sz w:val="22"/>
                <w:szCs w:val="22"/>
                <w:lang w:val="hr-HR"/>
              </w:rPr>
              <w:t>of</w:t>
            </w:r>
            <w:proofErr w:type="spellEnd"/>
            <w:r w:rsidRPr="004D70A2">
              <w:rPr>
                <w:i/>
                <w:iCs/>
                <w:sz w:val="22"/>
                <w:szCs w:val="22"/>
                <w:lang w:val="hr-HR"/>
              </w:rPr>
              <w:t xml:space="preserve"> East European </w:t>
            </w:r>
            <w:proofErr w:type="spellStart"/>
            <w:r w:rsidRPr="004D70A2">
              <w:rPr>
                <w:i/>
                <w:iCs/>
                <w:sz w:val="22"/>
                <w:szCs w:val="22"/>
                <w:lang w:val="hr-HR"/>
              </w:rPr>
              <w:t>Exibitions</w:t>
            </w:r>
            <w:proofErr w:type="spellEnd"/>
            <w:r w:rsidRPr="004D70A2">
              <w:rPr>
                <w:sz w:val="22"/>
                <w:szCs w:val="22"/>
                <w:lang w:val="hr-HR"/>
              </w:rPr>
              <w:t>, a</w:t>
            </w:r>
            <w:proofErr w:type="spellStart"/>
            <w:r w:rsidRPr="004D70A2">
              <w:rPr>
                <w:sz w:val="22"/>
                <w:szCs w:val="22"/>
              </w:rPr>
              <w:t>ccessible</w:t>
            </w:r>
            <w:proofErr w:type="spellEnd"/>
            <w:r w:rsidRPr="004D70A2">
              <w:rPr>
                <w:sz w:val="22"/>
                <w:szCs w:val="22"/>
              </w:rPr>
              <w:t xml:space="preserve"> at </w:t>
            </w:r>
            <w:hyperlink r:id="rId10" w:history="1">
              <w:r w:rsidRPr="004D70A2">
                <w:rPr>
                  <w:rStyle w:val="Hyperlink"/>
                  <w:sz w:val="22"/>
                  <w:szCs w:val="22"/>
                </w:rPr>
                <w:t>http://tranzit.org/exhibitionarchive/lines-by-branka-stipancic/</w:t>
              </w:r>
            </w:hyperlink>
            <w:r w:rsidRPr="004D70A2">
              <w:rPr>
                <w:sz w:val="22"/>
                <w:szCs w:val="22"/>
              </w:rPr>
              <w:t xml:space="preserve">. </w:t>
            </w:r>
          </w:p>
          <w:p w14:paraId="3AD233F9" w14:textId="536C9568" w:rsidR="002B2B3F" w:rsidRDefault="002B2B3F"/>
        </w:tc>
      </w:tr>
      <w:tr w:rsidR="002B2B3F" w14:paraId="186ABCFB" w14:textId="77777777" w:rsidTr="00BB4313">
        <w:tc>
          <w:tcPr>
            <w:tcW w:w="1255" w:type="dxa"/>
          </w:tcPr>
          <w:p w14:paraId="583079F2" w14:textId="5D0448E5" w:rsidR="002B2B3F" w:rsidRDefault="00BB4313">
            <w:r>
              <w:lastRenderedPageBreak/>
              <w:t>Th 10/14</w:t>
            </w:r>
          </w:p>
        </w:tc>
        <w:tc>
          <w:tcPr>
            <w:tcW w:w="8095" w:type="dxa"/>
          </w:tcPr>
          <w:p w14:paraId="75AFB2B6" w14:textId="77777777" w:rsidR="00990FF9" w:rsidRDefault="00990FF9" w:rsidP="00990FF9">
            <w:proofErr w:type="spellStart"/>
            <w:r>
              <w:t>Arte</w:t>
            </w:r>
            <w:proofErr w:type="spellEnd"/>
            <w:r>
              <w:t xml:space="preserve"> Povera </w:t>
            </w:r>
          </w:p>
          <w:p w14:paraId="7067F8C9" w14:textId="77777777" w:rsidR="00990FF9" w:rsidRDefault="00990FF9" w:rsidP="00990FF9"/>
          <w:p w14:paraId="5FC01CD8" w14:textId="2F97064A" w:rsidR="00990FF9" w:rsidRDefault="00990FF9" w:rsidP="00990FF9">
            <w:pPr>
              <w:rPr>
                <w:sz w:val="22"/>
                <w:szCs w:val="22"/>
              </w:rPr>
            </w:pPr>
            <w:r w:rsidRPr="00CB3022">
              <w:rPr>
                <w:sz w:val="22"/>
                <w:szCs w:val="22"/>
              </w:rPr>
              <w:t xml:space="preserve">Jacopo </w:t>
            </w:r>
            <w:proofErr w:type="spellStart"/>
            <w:r w:rsidRPr="00CB3022">
              <w:rPr>
                <w:sz w:val="22"/>
                <w:szCs w:val="22"/>
              </w:rPr>
              <w:t>Galimberti</w:t>
            </w:r>
            <w:proofErr w:type="spellEnd"/>
            <w:r w:rsidRPr="00CB3022">
              <w:rPr>
                <w:sz w:val="22"/>
                <w:szCs w:val="22"/>
              </w:rPr>
              <w:t xml:space="preserve">, “A Third-Worldist Art? </w:t>
            </w:r>
            <w:proofErr w:type="spellStart"/>
            <w:r w:rsidRPr="00CB3022">
              <w:rPr>
                <w:sz w:val="22"/>
                <w:szCs w:val="22"/>
              </w:rPr>
              <w:t>Germano</w:t>
            </w:r>
            <w:proofErr w:type="spellEnd"/>
            <w:r w:rsidRPr="00CB3022">
              <w:rPr>
                <w:sz w:val="22"/>
                <w:szCs w:val="22"/>
              </w:rPr>
              <w:t xml:space="preserve"> </w:t>
            </w:r>
            <w:proofErr w:type="spellStart"/>
            <w:r w:rsidRPr="00CB3022">
              <w:rPr>
                <w:sz w:val="22"/>
                <w:szCs w:val="22"/>
              </w:rPr>
              <w:t>Celant’s</w:t>
            </w:r>
            <w:proofErr w:type="spellEnd"/>
            <w:r w:rsidRPr="00CB3022">
              <w:rPr>
                <w:sz w:val="22"/>
                <w:szCs w:val="22"/>
              </w:rPr>
              <w:t xml:space="preserve"> Invention of </w:t>
            </w:r>
            <w:proofErr w:type="spellStart"/>
            <w:r w:rsidRPr="00CB3022">
              <w:rPr>
                <w:sz w:val="22"/>
                <w:szCs w:val="22"/>
              </w:rPr>
              <w:t>Arte</w:t>
            </w:r>
            <w:proofErr w:type="spellEnd"/>
            <w:r w:rsidRPr="00CB3022">
              <w:rPr>
                <w:sz w:val="22"/>
                <w:szCs w:val="22"/>
              </w:rPr>
              <w:t xml:space="preserve"> Povera,” </w:t>
            </w:r>
            <w:r w:rsidRPr="00CB3022">
              <w:rPr>
                <w:i/>
                <w:iCs/>
                <w:sz w:val="22"/>
                <w:szCs w:val="22"/>
              </w:rPr>
              <w:t xml:space="preserve">Art History </w:t>
            </w:r>
            <w:r w:rsidRPr="00CB3022">
              <w:rPr>
                <w:sz w:val="22"/>
                <w:szCs w:val="22"/>
              </w:rPr>
              <w:t>36 3 (April 2013): 418-441.</w:t>
            </w:r>
          </w:p>
          <w:p w14:paraId="4FD9180D" w14:textId="058870DD" w:rsidR="004C730C" w:rsidRPr="004C730C" w:rsidRDefault="004C730C" w:rsidP="00990FF9">
            <w:pPr>
              <w:rPr>
                <w:b/>
                <w:bCs/>
                <w:sz w:val="22"/>
                <w:szCs w:val="22"/>
              </w:rPr>
            </w:pPr>
            <w:r>
              <w:rPr>
                <w:b/>
                <w:bCs/>
                <w:sz w:val="22"/>
                <w:szCs w:val="22"/>
              </w:rPr>
              <w:t xml:space="preserve">Hypothes.is annotation opportunity </w:t>
            </w:r>
          </w:p>
          <w:p w14:paraId="681F84F9" w14:textId="77777777" w:rsidR="00990FF9" w:rsidRPr="00CB3022" w:rsidRDefault="00990FF9" w:rsidP="00990FF9">
            <w:pPr>
              <w:rPr>
                <w:sz w:val="22"/>
                <w:szCs w:val="22"/>
              </w:rPr>
            </w:pPr>
          </w:p>
          <w:p w14:paraId="1C3D43FD" w14:textId="77777777" w:rsidR="00990FF9" w:rsidRPr="00CB3022" w:rsidRDefault="00990FF9" w:rsidP="00990FF9">
            <w:pPr>
              <w:rPr>
                <w:sz w:val="22"/>
                <w:szCs w:val="22"/>
              </w:rPr>
            </w:pPr>
            <w:proofErr w:type="spellStart"/>
            <w:r w:rsidRPr="00CB3022">
              <w:rPr>
                <w:sz w:val="22"/>
                <w:szCs w:val="22"/>
              </w:rPr>
              <w:t>Germano</w:t>
            </w:r>
            <w:proofErr w:type="spellEnd"/>
            <w:r w:rsidRPr="00CB3022">
              <w:rPr>
                <w:sz w:val="22"/>
                <w:szCs w:val="22"/>
              </w:rPr>
              <w:t xml:space="preserve"> </w:t>
            </w:r>
            <w:proofErr w:type="spellStart"/>
            <w:r w:rsidRPr="00CB3022">
              <w:rPr>
                <w:sz w:val="22"/>
                <w:szCs w:val="22"/>
              </w:rPr>
              <w:t>Celant</w:t>
            </w:r>
            <w:proofErr w:type="spellEnd"/>
            <w:r w:rsidRPr="00CB3022">
              <w:rPr>
                <w:sz w:val="22"/>
                <w:szCs w:val="22"/>
              </w:rPr>
              <w:t>, “</w:t>
            </w:r>
            <w:proofErr w:type="spellStart"/>
            <w:r w:rsidRPr="00CB3022">
              <w:rPr>
                <w:sz w:val="22"/>
                <w:szCs w:val="22"/>
              </w:rPr>
              <w:t>Arte</w:t>
            </w:r>
            <w:proofErr w:type="spellEnd"/>
            <w:r w:rsidRPr="00CB3022">
              <w:rPr>
                <w:sz w:val="22"/>
                <w:szCs w:val="22"/>
              </w:rPr>
              <w:t xml:space="preserve"> Povera: Notes on a Guerilla Warfare,” </w:t>
            </w:r>
            <w:r w:rsidRPr="00CB3022">
              <w:rPr>
                <w:i/>
                <w:iCs/>
                <w:sz w:val="22"/>
                <w:szCs w:val="22"/>
              </w:rPr>
              <w:t xml:space="preserve">Flash Art </w:t>
            </w:r>
            <w:r w:rsidRPr="00CB3022">
              <w:rPr>
                <w:sz w:val="22"/>
                <w:szCs w:val="22"/>
              </w:rPr>
              <w:t xml:space="preserve">5 (1967). Accessible at </w:t>
            </w:r>
            <w:hyperlink r:id="rId11" w:history="1">
              <w:r w:rsidRPr="00CB3022">
                <w:rPr>
                  <w:rStyle w:val="Hyperlink"/>
                  <w:sz w:val="22"/>
                  <w:szCs w:val="22"/>
                </w:rPr>
                <w:t>https://flash---art.com/article/germano-celant-arte-povera-notes-on-a-guerrilla-war/</w:t>
              </w:r>
            </w:hyperlink>
            <w:r w:rsidRPr="00CB3022">
              <w:rPr>
                <w:sz w:val="22"/>
                <w:szCs w:val="22"/>
              </w:rPr>
              <w:t xml:space="preserve"> </w:t>
            </w:r>
          </w:p>
          <w:p w14:paraId="56C32B8E" w14:textId="1F7E17D6" w:rsidR="000667D2" w:rsidRDefault="000667D2"/>
        </w:tc>
      </w:tr>
      <w:tr w:rsidR="002B2B3F" w14:paraId="54B8BC67" w14:textId="77777777" w:rsidTr="00BB4313">
        <w:tc>
          <w:tcPr>
            <w:tcW w:w="1255" w:type="dxa"/>
          </w:tcPr>
          <w:p w14:paraId="51E0AD38" w14:textId="22FE9618" w:rsidR="002B2B3F" w:rsidRDefault="00BB4313">
            <w:r>
              <w:t>T 10/19</w:t>
            </w:r>
          </w:p>
        </w:tc>
        <w:tc>
          <w:tcPr>
            <w:tcW w:w="8095" w:type="dxa"/>
          </w:tcPr>
          <w:p w14:paraId="67D50361" w14:textId="02A38BCA" w:rsidR="00990FF9" w:rsidRDefault="006824A3" w:rsidP="00990FF9">
            <w:r>
              <w:t>African conceptualism(s)</w:t>
            </w:r>
          </w:p>
          <w:p w14:paraId="57366C78" w14:textId="5DEC1841" w:rsidR="006824A3" w:rsidRDefault="006824A3" w:rsidP="00990FF9"/>
          <w:p w14:paraId="567C203F" w14:textId="1C861EA5" w:rsidR="00382EEF" w:rsidRPr="00A5401E" w:rsidRDefault="006824A3">
            <w:pPr>
              <w:rPr>
                <w:sz w:val="22"/>
                <w:szCs w:val="22"/>
              </w:rPr>
            </w:pPr>
            <w:proofErr w:type="spellStart"/>
            <w:r w:rsidRPr="00A5401E">
              <w:rPr>
                <w:sz w:val="22"/>
                <w:szCs w:val="22"/>
              </w:rPr>
              <w:t>Okwei</w:t>
            </w:r>
            <w:proofErr w:type="spellEnd"/>
            <w:r w:rsidRPr="00A5401E">
              <w:rPr>
                <w:sz w:val="22"/>
                <w:szCs w:val="22"/>
              </w:rPr>
              <w:t xml:space="preserve"> </w:t>
            </w:r>
            <w:proofErr w:type="spellStart"/>
            <w:r w:rsidRPr="00A5401E">
              <w:rPr>
                <w:sz w:val="22"/>
                <w:szCs w:val="22"/>
              </w:rPr>
              <w:t>Enwezor</w:t>
            </w:r>
            <w:proofErr w:type="spellEnd"/>
            <w:r w:rsidRPr="00A5401E">
              <w:rPr>
                <w:sz w:val="22"/>
                <w:szCs w:val="22"/>
              </w:rPr>
              <w:t xml:space="preserve">, </w:t>
            </w:r>
            <w:r w:rsidR="00A5401E" w:rsidRPr="00A5401E">
              <w:rPr>
                <w:sz w:val="22"/>
                <w:szCs w:val="22"/>
              </w:rPr>
              <w:t xml:space="preserve">“Where, What, Who, When: A Few Notes on ‘African’ Conceptualism,” in </w:t>
            </w:r>
            <w:proofErr w:type="spellStart"/>
            <w:r w:rsidR="00A5401E" w:rsidRPr="00A5401E">
              <w:rPr>
                <w:sz w:val="22"/>
                <w:szCs w:val="22"/>
              </w:rPr>
              <w:t>Camnitzer</w:t>
            </w:r>
            <w:proofErr w:type="spellEnd"/>
            <w:r w:rsidR="00A5401E" w:rsidRPr="00A5401E">
              <w:rPr>
                <w:sz w:val="22"/>
                <w:szCs w:val="22"/>
              </w:rPr>
              <w:t xml:space="preserve">, ed., </w:t>
            </w:r>
            <w:r w:rsidR="00A5401E" w:rsidRPr="00A5401E">
              <w:rPr>
                <w:i/>
                <w:iCs/>
                <w:sz w:val="22"/>
                <w:szCs w:val="22"/>
              </w:rPr>
              <w:t>Global Conceptualism</w:t>
            </w:r>
            <w:r w:rsidR="00A5401E" w:rsidRPr="00A5401E">
              <w:rPr>
                <w:sz w:val="22"/>
                <w:szCs w:val="22"/>
              </w:rPr>
              <w:t>, pp. 108-117.</w:t>
            </w:r>
          </w:p>
          <w:p w14:paraId="3362147D" w14:textId="709A2EB3" w:rsidR="002C370F" w:rsidRDefault="002C370F" w:rsidP="00990FF9"/>
        </w:tc>
      </w:tr>
      <w:tr w:rsidR="002B2B3F" w14:paraId="017EDBCA" w14:textId="77777777" w:rsidTr="00BB4313">
        <w:tc>
          <w:tcPr>
            <w:tcW w:w="1255" w:type="dxa"/>
          </w:tcPr>
          <w:p w14:paraId="4E208FB6" w14:textId="61F3B21F" w:rsidR="002B2B3F" w:rsidRDefault="00BB4313">
            <w:r>
              <w:t>Th 10/21</w:t>
            </w:r>
          </w:p>
        </w:tc>
        <w:tc>
          <w:tcPr>
            <w:tcW w:w="8095" w:type="dxa"/>
          </w:tcPr>
          <w:p w14:paraId="563AFED4" w14:textId="46A42411" w:rsidR="002C370F" w:rsidRDefault="007E757D" w:rsidP="00382EEF">
            <w:r>
              <w:t>Diverse approaches in American conceptualism</w:t>
            </w:r>
          </w:p>
          <w:p w14:paraId="22088D80" w14:textId="3D291B80" w:rsidR="00CF587F" w:rsidRDefault="00CF587F" w:rsidP="00382EEF"/>
          <w:p w14:paraId="6D10D996" w14:textId="16BC6715" w:rsidR="00CF587F" w:rsidRPr="00CF587F" w:rsidRDefault="00CF587F" w:rsidP="00382EEF">
            <w:pPr>
              <w:rPr>
                <w:b/>
                <w:bCs/>
                <w:sz w:val="22"/>
                <w:szCs w:val="22"/>
              </w:rPr>
            </w:pPr>
            <w:r w:rsidRPr="00CF587F">
              <w:rPr>
                <w:b/>
                <w:bCs/>
                <w:sz w:val="22"/>
                <w:szCs w:val="22"/>
              </w:rPr>
              <w:t xml:space="preserve">Two presentation slots: 1) Lozano and the two Piper texts 2) </w:t>
            </w:r>
            <w:proofErr w:type="spellStart"/>
            <w:r w:rsidRPr="00CF587F">
              <w:rPr>
                <w:b/>
                <w:bCs/>
                <w:sz w:val="22"/>
                <w:szCs w:val="22"/>
              </w:rPr>
              <w:t>McShine</w:t>
            </w:r>
            <w:proofErr w:type="spellEnd"/>
            <w:r w:rsidRPr="00CF587F">
              <w:rPr>
                <w:b/>
                <w:bCs/>
                <w:sz w:val="22"/>
                <w:szCs w:val="22"/>
              </w:rPr>
              <w:t xml:space="preserve"> and Burnham</w:t>
            </w:r>
          </w:p>
          <w:p w14:paraId="622ED765" w14:textId="3A0A2B16" w:rsidR="007E757D" w:rsidRDefault="007E757D" w:rsidP="00382EEF"/>
          <w:p w14:paraId="278606EB" w14:textId="271CA2F0" w:rsidR="007E757D" w:rsidRPr="00E508C6" w:rsidRDefault="00E508C6" w:rsidP="00382EEF">
            <w:pPr>
              <w:rPr>
                <w:sz w:val="22"/>
                <w:szCs w:val="22"/>
              </w:rPr>
            </w:pPr>
            <w:r w:rsidRPr="00E508C6">
              <w:rPr>
                <w:sz w:val="22"/>
                <w:szCs w:val="22"/>
              </w:rPr>
              <w:t>***</w:t>
            </w:r>
            <w:r w:rsidR="007E757D" w:rsidRPr="00E508C6">
              <w:rPr>
                <w:sz w:val="22"/>
                <w:szCs w:val="22"/>
              </w:rPr>
              <w:t xml:space="preserve">Lee Lozano, “Dialogue Piece (1969),” in </w:t>
            </w:r>
            <w:proofErr w:type="spellStart"/>
            <w:r w:rsidR="007E757D" w:rsidRPr="00E508C6">
              <w:rPr>
                <w:sz w:val="22"/>
                <w:szCs w:val="22"/>
              </w:rPr>
              <w:t>Alberro</w:t>
            </w:r>
            <w:proofErr w:type="spellEnd"/>
            <w:r w:rsidR="007E757D" w:rsidRPr="00E508C6">
              <w:rPr>
                <w:sz w:val="22"/>
                <w:szCs w:val="22"/>
              </w:rPr>
              <w:t xml:space="preserve"> and Stimson, pp. 112-119.</w:t>
            </w:r>
          </w:p>
          <w:p w14:paraId="2AAD5D8A" w14:textId="57EA438F" w:rsidR="00E508C6" w:rsidRPr="00E508C6" w:rsidRDefault="00E508C6" w:rsidP="00382EEF">
            <w:pPr>
              <w:rPr>
                <w:sz w:val="22"/>
                <w:szCs w:val="22"/>
              </w:rPr>
            </w:pPr>
          </w:p>
          <w:p w14:paraId="512EA947" w14:textId="1C93E04F" w:rsidR="00E508C6" w:rsidRPr="00E508C6" w:rsidRDefault="00E508C6" w:rsidP="00382EEF">
            <w:pPr>
              <w:rPr>
                <w:sz w:val="22"/>
                <w:szCs w:val="22"/>
              </w:rPr>
            </w:pPr>
            <w:r w:rsidRPr="00E508C6">
              <w:rPr>
                <w:sz w:val="22"/>
                <w:szCs w:val="22"/>
              </w:rPr>
              <w:t xml:space="preserve">***Adrian Piper, “On Conceptual Art (1988),” in </w:t>
            </w:r>
            <w:proofErr w:type="spellStart"/>
            <w:r w:rsidRPr="00E508C6">
              <w:rPr>
                <w:sz w:val="22"/>
                <w:szCs w:val="22"/>
              </w:rPr>
              <w:t>Alberro</w:t>
            </w:r>
            <w:proofErr w:type="spellEnd"/>
            <w:r w:rsidRPr="00E508C6">
              <w:rPr>
                <w:sz w:val="22"/>
                <w:szCs w:val="22"/>
              </w:rPr>
              <w:t xml:space="preserve"> and Stimson, 424-425.</w:t>
            </w:r>
          </w:p>
          <w:p w14:paraId="62B37A64" w14:textId="1A6B37C1" w:rsidR="00E508C6" w:rsidRPr="00E508C6" w:rsidRDefault="00E508C6" w:rsidP="00382EEF">
            <w:pPr>
              <w:rPr>
                <w:sz w:val="22"/>
                <w:szCs w:val="22"/>
              </w:rPr>
            </w:pPr>
          </w:p>
          <w:p w14:paraId="5224E36B" w14:textId="253CD13F" w:rsidR="00382EEF" w:rsidRDefault="00E508C6" w:rsidP="00382EEF">
            <w:pPr>
              <w:rPr>
                <w:sz w:val="22"/>
                <w:szCs w:val="22"/>
              </w:rPr>
            </w:pPr>
            <w:r w:rsidRPr="00E508C6">
              <w:rPr>
                <w:sz w:val="22"/>
                <w:szCs w:val="22"/>
              </w:rPr>
              <w:t xml:space="preserve">***Adrian Piper, “The Logic of Modernism (1992),” in </w:t>
            </w:r>
            <w:proofErr w:type="spellStart"/>
            <w:r w:rsidRPr="00E508C6">
              <w:rPr>
                <w:sz w:val="22"/>
                <w:szCs w:val="22"/>
              </w:rPr>
              <w:t>Alberro</w:t>
            </w:r>
            <w:proofErr w:type="spellEnd"/>
            <w:r w:rsidRPr="00E508C6">
              <w:rPr>
                <w:sz w:val="22"/>
                <w:szCs w:val="22"/>
              </w:rPr>
              <w:t xml:space="preserve"> and Stimson, 546-549. </w:t>
            </w:r>
          </w:p>
          <w:p w14:paraId="29341EDA" w14:textId="4F90572D" w:rsidR="009B41DF" w:rsidRDefault="009B41DF" w:rsidP="00382EEF">
            <w:pPr>
              <w:rPr>
                <w:sz w:val="22"/>
                <w:szCs w:val="22"/>
              </w:rPr>
            </w:pPr>
          </w:p>
          <w:p w14:paraId="4F119EEA" w14:textId="77777777" w:rsidR="009B41DF" w:rsidRPr="00E508C6" w:rsidRDefault="009B41DF" w:rsidP="009B41DF">
            <w:pPr>
              <w:rPr>
                <w:sz w:val="22"/>
                <w:szCs w:val="22"/>
              </w:rPr>
            </w:pPr>
            <w:r w:rsidRPr="00E508C6">
              <w:rPr>
                <w:sz w:val="22"/>
                <w:szCs w:val="22"/>
              </w:rPr>
              <w:t>***</w:t>
            </w:r>
            <w:proofErr w:type="spellStart"/>
            <w:r w:rsidRPr="00E508C6">
              <w:rPr>
                <w:sz w:val="22"/>
                <w:szCs w:val="22"/>
              </w:rPr>
              <w:t>Kynaston</w:t>
            </w:r>
            <w:proofErr w:type="spellEnd"/>
            <w:r w:rsidRPr="00E508C6">
              <w:rPr>
                <w:sz w:val="22"/>
                <w:szCs w:val="22"/>
              </w:rPr>
              <w:t xml:space="preserve"> </w:t>
            </w:r>
            <w:proofErr w:type="spellStart"/>
            <w:r w:rsidRPr="00E508C6">
              <w:rPr>
                <w:sz w:val="22"/>
                <w:szCs w:val="22"/>
              </w:rPr>
              <w:t>McShine</w:t>
            </w:r>
            <w:proofErr w:type="spellEnd"/>
            <w:r w:rsidRPr="00E508C6">
              <w:rPr>
                <w:sz w:val="22"/>
                <w:szCs w:val="22"/>
              </w:rPr>
              <w:t xml:space="preserve">, “Introduction to </w:t>
            </w:r>
            <w:r w:rsidRPr="00E508C6">
              <w:rPr>
                <w:i/>
                <w:iCs/>
                <w:sz w:val="22"/>
                <w:szCs w:val="22"/>
              </w:rPr>
              <w:t xml:space="preserve">Information </w:t>
            </w:r>
            <w:r w:rsidRPr="00E508C6">
              <w:rPr>
                <w:sz w:val="22"/>
                <w:szCs w:val="22"/>
              </w:rPr>
              <w:t xml:space="preserve">(1970),” in </w:t>
            </w:r>
            <w:proofErr w:type="spellStart"/>
            <w:r w:rsidRPr="00E508C6">
              <w:rPr>
                <w:sz w:val="22"/>
                <w:szCs w:val="22"/>
              </w:rPr>
              <w:t>Alberro</w:t>
            </w:r>
            <w:proofErr w:type="spellEnd"/>
            <w:r w:rsidRPr="00E508C6">
              <w:rPr>
                <w:sz w:val="22"/>
                <w:szCs w:val="22"/>
              </w:rPr>
              <w:t xml:space="preserve"> and Stimson, pp. 212-214. </w:t>
            </w:r>
          </w:p>
          <w:p w14:paraId="720A550A" w14:textId="77777777" w:rsidR="009B41DF" w:rsidRPr="00E508C6" w:rsidRDefault="009B41DF" w:rsidP="009B41DF">
            <w:pPr>
              <w:rPr>
                <w:sz w:val="22"/>
                <w:szCs w:val="22"/>
              </w:rPr>
            </w:pPr>
          </w:p>
          <w:p w14:paraId="6F6D4C36" w14:textId="08A38A0C" w:rsidR="009B41DF" w:rsidRPr="00E508C6" w:rsidRDefault="009B41DF" w:rsidP="00382EEF">
            <w:pPr>
              <w:rPr>
                <w:sz w:val="22"/>
                <w:szCs w:val="22"/>
              </w:rPr>
            </w:pPr>
            <w:r w:rsidRPr="00E508C6">
              <w:rPr>
                <w:sz w:val="22"/>
                <w:szCs w:val="22"/>
              </w:rPr>
              <w:t xml:space="preserve">***Jack Burnham, “Alice’s Head: Reflections on Conceptual Art (1970),” </w:t>
            </w:r>
            <w:r w:rsidR="006A7DEA">
              <w:rPr>
                <w:sz w:val="22"/>
                <w:szCs w:val="22"/>
              </w:rPr>
              <w:t xml:space="preserve">in </w:t>
            </w:r>
            <w:proofErr w:type="spellStart"/>
            <w:r w:rsidR="006A7DEA">
              <w:rPr>
                <w:sz w:val="22"/>
                <w:szCs w:val="22"/>
              </w:rPr>
              <w:t>Alberro</w:t>
            </w:r>
            <w:proofErr w:type="spellEnd"/>
            <w:r w:rsidR="006A7DEA">
              <w:rPr>
                <w:sz w:val="22"/>
                <w:szCs w:val="22"/>
              </w:rPr>
              <w:t xml:space="preserve"> and Stimson, 216-219. </w:t>
            </w:r>
            <w:r>
              <w:rPr>
                <w:sz w:val="22"/>
                <w:szCs w:val="22"/>
              </w:rPr>
              <w:t xml:space="preserve"> </w:t>
            </w:r>
            <w:r w:rsidRPr="00E508C6">
              <w:rPr>
                <w:sz w:val="22"/>
                <w:szCs w:val="22"/>
              </w:rPr>
              <w:t xml:space="preserve"> </w:t>
            </w:r>
          </w:p>
          <w:p w14:paraId="2880F609" w14:textId="77777777" w:rsidR="00382EEF" w:rsidRDefault="00382EEF" w:rsidP="00382EEF"/>
          <w:p w14:paraId="3FCEC619" w14:textId="77777777" w:rsidR="00882F5A" w:rsidRDefault="00882F5A" w:rsidP="00382EEF">
            <w:pPr>
              <w:rPr>
                <w:b/>
                <w:bCs/>
              </w:rPr>
            </w:pPr>
            <w:r>
              <w:rPr>
                <w:b/>
                <w:bCs/>
              </w:rPr>
              <w:t>For Writing Option B, initial abstract due Monday 10/25 at 11:59 via Canvas</w:t>
            </w:r>
          </w:p>
          <w:p w14:paraId="52362038" w14:textId="2828C9B4" w:rsidR="00882F5A" w:rsidRPr="00882F5A" w:rsidRDefault="00882F5A" w:rsidP="00382EEF">
            <w:pPr>
              <w:rPr>
                <w:b/>
                <w:bCs/>
              </w:rPr>
            </w:pPr>
          </w:p>
        </w:tc>
      </w:tr>
      <w:tr w:rsidR="002B2B3F" w14:paraId="666F4FA4" w14:textId="77777777" w:rsidTr="00BB4313">
        <w:tc>
          <w:tcPr>
            <w:tcW w:w="1255" w:type="dxa"/>
          </w:tcPr>
          <w:p w14:paraId="7AC286E2" w14:textId="704E9615" w:rsidR="002B2B3F" w:rsidRDefault="00BB4313">
            <w:r>
              <w:t>T 10/26</w:t>
            </w:r>
          </w:p>
        </w:tc>
        <w:tc>
          <w:tcPr>
            <w:tcW w:w="8095" w:type="dxa"/>
          </w:tcPr>
          <w:p w14:paraId="4B061DE0" w14:textId="77777777" w:rsidR="00E508C6" w:rsidRDefault="00E508C6" w:rsidP="00E508C6">
            <w:r>
              <w:t>Lea Lublin – Argentina/France/Poland</w:t>
            </w:r>
          </w:p>
          <w:p w14:paraId="44B50154" w14:textId="77777777" w:rsidR="00E508C6" w:rsidRDefault="00E508C6" w:rsidP="00E508C6"/>
          <w:p w14:paraId="7754C3D9" w14:textId="450F40BB" w:rsidR="00B05CCF" w:rsidRDefault="00E508C6">
            <w:pPr>
              <w:rPr>
                <w:sz w:val="22"/>
                <w:szCs w:val="22"/>
              </w:rPr>
            </w:pPr>
            <w:r w:rsidRPr="00DF0C74">
              <w:rPr>
                <w:sz w:val="22"/>
                <w:szCs w:val="22"/>
              </w:rPr>
              <w:t xml:space="preserve">Catherine Spencer, “Lea </w:t>
            </w:r>
            <w:proofErr w:type="spellStart"/>
            <w:r w:rsidRPr="00DF0C74">
              <w:rPr>
                <w:sz w:val="22"/>
                <w:szCs w:val="22"/>
              </w:rPr>
              <w:t>Lubin’s</w:t>
            </w:r>
            <w:proofErr w:type="spellEnd"/>
            <w:r w:rsidRPr="00DF0C74">
              <w:rPr>
                <w:sz w:val="22"/>
                <w:szCs w:val="22"/>
              </w:rPr>
              <w:t xml:space="preserve"> exercises in denaturalization,” in </w:t>
            </w:r>
            <w:r w:rsidRPr="00DF0C74">
              <w:rPr>
                <w:i/>
                <w:iCs/>
                <w:sz w:val="22"/>
                <w:szCs w:val="22"/>
              </w:rPr>
              <w:t>Beyond the Happening: Performance and the Politics of Communication</w:t>
            </w:r>
            <w:r w:rsidRPr="00DF0C74">
              <w:rPr>
                <w:sz w:val="22"/>
                <w:szCs w:val="22"/>
              </w:rPr>
              <w:t xml:space="preserve">. Manchester: Manchester UP, 2020, pp. 181-224. </w:t>
            </w:r>
          </w:p>
          <w:p w14:paraId="753323AA" w14:textId="12752FCD" w:rsidR="00843982" w:rsidRPr="00843982" w:rsidRDefault="00843982">
            <w:pPr>
              <w:rPr>
                <w:b/>
                <w:bCs/>
                <w:sz w:val="22"/>
                <w:szCs w:val="22"/>
              </w:rPr>
            </w:pPr>
            <w:r>
              <w:rPr>
                <w:b/>
                <w:bCs/>
                <w:sz w:val="22"/>
                <w:szCs w:val="22"/>
              </w:rPr>
              <w:t xml:space="preserve">Hypothes.is annotation opportunity </w:t>
            </w:r>
          </w:p>
          <w:p w14:paraId="13BD7647" w14:textId="57692246" w:rsidR="00B05CCF" w:rsidRDefault="00B05CCF"/>
        </w:tc>
      </w:tr>
      <w:tr w:rsidR="002B2B3F" w14:paraId="64C47552" w14:textId="77777777" w:rsidTr="00BB4313">
        <w:tc>
          <w:tcPr>
            <w:tcW w:w="1255" w:type="dxa"/>
          </w:tcPr>
          <w:p w14:paraId="574F3C37" w14:textId="4F5ED39C" w:rsidR="002B2B3F" w:rsidRDefault="00BB4313">
            <w:r>
              <w:t>Th 10/28</w:t>
            </w:r>
          </w:p>
        </w:tc>
        <w:tc>
          <w:tcPr>
            <w:tcW w:w="8095" w:type="dxa"/>
          </w:tcPr>
          <w:p w14:paraId="1A7D921D" w14:textId="483FB5E7" w:rsidR="00196C97" w:rsidRDefault="00196C97" w:rsidP="00E508C6">
            <w:r>
              <w:t xml:space="preserve">Sick day </w:t>
            </w:r>
          </w:p>
          <w:p w14:paraId="1445B9E4" w14:textId="51F9122E" w:rsidR="00CF587F" w:rsidRDefault="00CF587F" w:rsidP="00E508C6"/>
          <w:p w14:paraId="15C5EA91" w14:textId="3FADECA6" w:rsidR="00E508C6" w:rsidRDefault="00E508C6" w:rsidP="00196C97"/>
        </w:tc>
      </w:tr>
      <w:tr w:rsidR="002B2B3F" w14:paraId="6D58825A" w14:textId="77777777" w:rsidTr="00BB4313">
        <w:tc>
          <w:tcPr>
            <w:tcW w:w="1255" w:type="dxa"/>
          </w:tcPr>
          <w:p w14:paraId="5FD5B0EA" w14:textId="031E7D69" w:rsidR="002B2B3F" w:rsidRDefault="00BB4313">
            <w:r>
              <w:lastRenderedPageBreak/>
              <w:t>T 11/2</w:t>
            </w:r>
          </w:p>
        </w:tc>
        <w:tc>
          <w:tcPr>
            <w:tcW w:w="8095" w:type="dxa"/>
          </w:tcPr>
          <w:p w14:paraId="60D85A7A" w14:textId="77777777" w:rsidR="002C370F" w:rsidRDefault="00196C97" w:rsidP="00196C97">
            <w:r>
              <w:t>Latin American conceptualisms</w:t>
            </w:r>
          </w:p>
          <w:p w14:paraId="00F54118" w14:textId="77777777" w:rsidR="00196C97" w:rsidRDefault="00196C97" w:rsidP="00196C97"/>
          <w:p w14:paraId="673D8CD1" w14:textId="77777777" w:rsidR="00196C97" w:rsidRPr="00CF587F" w:rsidRDefault="00196C97" w:rsidP="00196C97">
            <w:pPr>
              <w:rPr>
                <w:b/>
                <w:bCs/>
                <w:sz w:val="22"/>
                <w:szCs w:val="22"/>
              </w:rPr>
            </w:pPr>
            <w:r w:rsidRPr="00CF587F">
              <w:rPr>
                <w:b/>
                <w:bCs/>
                <w:sz w:val="22"/>
                <w:szCs w:val="22"/>
              </w:rPr>
              <w:t xml:space="preserve">Two presentation slots 1) </w:t>
            </w:r>
            <w:proofErr w:type="spellStart"/>
            <w:r w:rsidRPr="00CF587F">
              <w:rPr>
                <w:b/>
                <w:bCs/>
                <w:sz w:val="22"/>
                <w:szCs w:val="22"/>
              </w:rPr>
              <w:t>Oiticica</w:t>
            </w:r>
            <w:proofErr w:type="spellEnd"/>
            <w:r w:rsidRPr="00CF587F">
              <w:rPr>
                <w:b/>
                <w:bCs/>
                <w:sz w:val="22"/>
                <w:szCs w:val="22"/>
              </w:rPr>
              <w:t xml:space="preserve"> and Clark 2) </w:t>
            </w:r>
            <w:proofErr w:type="spellStart"/>
            <w:r w:rsidRPr="00CF587F">
              <w:rPr>
                <w:b/>
                <w:bCs/>
                <w:sz w:val="22"/>
                <w:szCs w:val="22"/>
              </w:rPr>
              <w:t>Camnitzer</w:t>
            </w:r>
            <w:proofErr w:type="spellEnd"/>
            <w:r w:rsidRPr="00CF587F">
              <w:rPr>
                <w:b/>
                <w:bCs/>
                <w:sz w:val="22"/>
                <w:szCs w:val="22"/>
              </w:rPr>
              <w:t xml:space="preserve"> and </w:t>
            </w:r>
            <w:proofErr w:type="spellStart"/>
            <w:r w:rsidRPr="00CF587F">
              <w:rPr>
                <w:b/>
                <w:bCs/>
                <w:sz w:val="22"/>
                <w:szCs w:val="22"/>
              </w:rPr>
              <w:t>Meireles</w:t>
            </w:r>
            <w:proofErr w:type="spellEnd"/>
          </w:p>
          <w:p w14:paraId="3F502630" w14:textId="77777777" w:rsidR="00196C97" w:rsidRDefault="00196C97" w:rsidP="00196C97"/>
          <w:p w14:paraId="00D5C75F" w14:textId="77777777" w:rsidR="00196C97" w:rsidRPr="007E61C3" w:rsidRDefault="00196C97" w:rsidP="00196C97">
            <w:pPr>
              <w:rPr>
                <w:sz w:val="22"/>
                <w:szCs w:val="22"/>
              </w:rPr>
            </w:pPr>
            <w:r w:rsidRPr="007E61C3">
              <w:rPr>
                <w:sz w:val="22"/>
                <w:szCs w:val="22"/>
              </w:rPr>
              <w:t>***</w:t>
            </w:r>
            <w:proofErr w:type="spellStart"/>
            <w:r w:rsidRPr="007E61C3">
              <w:rPr>
                <w:sz w:val="22"/>
                <w:szCs w:val="22"/>
              </w:rPr>
              <w:t>Hélio</w:t>
            </w:r>
            <w:proofErr w:type="spellEnd"/>
            <w:r w:rsidRPr="007E61C3">
              <w:rPr>
                <w:sz w:val="22"/>
                <w:szCs w:val="22"/>
              </w:rPr>
              <w:t xml:space="preserve"> </w:t>
            </w:r>
            <w:proofErr w:type="spellStart"/>
            <w:r w:rsidRPr="007E61C3">
              <w:rPr>
                <w:sz w:val="22"/>
                <w:szCs w:val="22"/>
              </w:rPr>
              <w:t>Oiticica</w:t>
            </w:r>
            <w:proofErr w:type="spellEnd"/>
            <w:r w:rsidRPr="007E61C3">
              <w:rPr>
                <w:sz w:val="22"/>
                <w:szCs w:val="22"/>
              </w:rPr>
              <w:t xml:space="preserve">, “General Scheme of the New Objectivity (1967),” in </w:t>
            </w:r>
            <w:proofErr w:type="spellStart"/>
            <w:r w:rsidRPr="007E61C3">
              <w:rPr>
                <w:sz w:val="22"/>
                <w:szCs w:val="22"/>
              </w:rPr>
              <w:t>Alberro</w:t>
            </w:r>
            <w:proofErr w:type="spellEnd"/>
            <w:r w:rsidRPr="007E61C3">
              <w:rPr>
                <w:sz w:val="22"/>
                <w:szCs w:val="22"/>
              </w:rPr>
              <w:t xml:space="preserve"> and Stimson, pp. 40-42. </w:t>
            </w:r>
          </w:p>
          <w:p w14:paraId="244E4960" w14:textId="77777777" w:rsidR="00196C97" w:rsidRPr="007E61C3" w:rsidRDefault="00196C97" w:rsidP="00196C97">
            <w:pPr>
              <w:rPr>
                <w:sz w:val="22"/>
                <w:szCs w:val="22"/>
              </w:rPr>
            </w:pPr>
          </w:p>
          <w:p w14:paraId="6A61B4C0" w14:textId="77777777" w:rsidR="00196C97" w:rsidRPr="007E61C3" w:rsidRDefault="00196C97" w:rsidP="00196C97">
            <w:pPr>
              <w:rPr>
                <w:sz w:val="22"/>
                <w:szCs w:val="22"/>
              </w:rPr>
            </w:pPr>
            <w:r w:rsidRPr="007E61C3">
              <w:rPr>
                <w:sz w:val="22"/>
                <w:szCs w:val="22"/>
              </w:rPr>
              <w:t>***</w:t>
            </w:r>
            <w:proofErr w:type="spellStart"/>
            <w:r w:rsidRPr="007E61C3">
              <w:rPr>
                <w:sz w:val="22"/>
                <w:szCs w:val="22"/>
              </w:rPr>
              <w:t>Lygia</w:t>
            </w:r>
            <w:proofErr w:type="spellEnd"/>
            <w:r w:rsidRPr="007E61C3">
              <w:rPr>
                <w:sz w:val="22"/>
                <w:szCs w:val="22"/>
              </w:rPr>
              <w:t xml:space="preserve"> Clark, “Concerning the Instant (1965)” and “Concerning the Magic of the Object (1965)” in Yves Alain </w:t>
            </w:r>
            <w:proofErr w:type="spellStart"/>
            <w:r w:rsidRPr="007E61C3">
              <w:rPr>
                <w:sz w:val="22"/>
                <w:szCs w:val="22"/>
              </w:rPr>
              <w:t>Bois</w:t>
            </w:r>
            <w:proofErr w:type="spellEnd"/>
            <w:r w:rsidRPr="007E61C3">
              <w:rPr>
                <w:sz w:val="22"/>
                <w:szCs w:val="22"/>
              </w:rPr>
              <w:t xml:space="preserve"> and </w:t>
            </w:r>
            <w:proofErr w:type="spellStart"/>
            <w:r w:rsidRPr="007E61C3">
              <w:rPr>
                <w:sz w:val="22"/>
                <w:szCs w:val="22"/>
              </w:rPr>
              <w:t>Lygia</w:t>
            </w:r>
            <w:proofErr w:type="spellEnd"/>
            <w:r w:rsidRPr="007E61C3">
              <w:rPr>
                <w:sz w:val="22"/>
                <w:szCs w:val="22"/>
              </w:rPr>
              <w:t xml:space="preserve"> Clark, “Nostalgia of the Body,” </w:t>
            </w:r>
            <w:r w:rsidRPr="007E61C3">
              <w:rPr>
                <w:i/>
                <w:iCs/>
                <w:sz w:val="22"/>
                <w:szCs w:val="22"/>
              </w:rPr>
              <w:t xml:space="preserve">October </w:t>
            </w:r>
            <w:r w:rsidRPr="007E61C3">
              <w:rPr>
                <w:sz w:val="22"/>
                <w:szCs w:val="22"/>
              </w:rPr>
              <w:t xml:space="preserve">69 (Summer 1994), pp. 100-102. </w:t>
            </w:r>
          </w:p>
          <w:p w14:paraId="41601D07" w14:textId="77777777" w:rsidR="00196C97" w:rsidRPr="007E61C3" w:rsidRDefault="00196C97" w:rsidP="00196C97">
            <w:pPr>
              <w:rPr>
                <w:sz w:val="22"/>
                <w:szCs w:val="22"/>
              </w:rPr>
            </w:pPr>
          </w:p>
          <w:p w14:paraId="1F466DA9" w14:textId="77777777" w:rsidR="00196C97" w:rsidRPr="007E61C3" w:rsidRDefault="00196C97" w:rsidP="00196C97">
            <w:pPr>
              <w:rPr>
                <w:sz w:val="22"/>
                <w:szCs w:val="22"/>
              </w:rPr>
            </w:pPr>
            <w:r w:rsidRPr="007E61C3">
              <w:rPr>
                <w:sz w:val="22"/>
                <w:szCs w:val="22"/>
              </w:rPr>
              <w:t xml:space="preserve">***Luis </w:t>
            </w:r>
            <w:proofErr w:type="spellStart"/>
            <w:r w:rsidRPr="007E61C3">
              <w:rPr>
                <w:sz w:val="22"/>
                <w:szCs w:val="22"/>
              </w:rPr>
              <w:t>Camnitzer</w:t>
            </w:r>
            <w:proofErr w:type="spellEnd"/>
            <w:r w:rsidRPr="007E61C3">
              <w:rPr>
                <w:sz w:val="22"/>
                <w:szCs w:val="22"/>
              </w:rPr>
              <w:t xml:space="preserve">, “Contemporary colonial art (1970)” in </w:t>
            </w:r>
            <w:proofErr w:type="spellStart"/>
            <w:r w:rsidRPr="007E61C3">
              <w:rPr>
                <w:sz w:val="22"/>
                <w:szCs w:val="22"/>
              </w:rPr>
              <w:t>Alberro</w:t>
            </w:r>
            <w:proofErr w:type="spellEnd"/>
            <w:r w:rsidRPr="007E61C3">
              <w:rPr>
                <w:sz w:val="22"/>
                <w:szCs w:val="22"/>
              </w:rPr>
              <w:t xml:space="preserve"> and Stimson, 224-230.</w:t>
            </w:r>
          </w:p>
          <w:p w14:paraId="6BE9B73F" w14:textId="77777777" w:rsidR="00196C97" w:rsidRPr="007E61C3" w:rsidRDefault="00196C97" w:rsidP="00196C97">
            <w:pPr>
              <w:rPr>
                <w:sz w:val="22"/>
                <w:szCs w:val="22"/>
              </w:rPr>
            </w:pPr>
          </w:p>
          <w:p w14:paraId="0027D757" w14:textId="77777777" w:rsidR="00196C97" w:rsidRDefault="00196C97" w:rsidP="00196C97">
            <w:pPr>
              <w:rPr>
                <w:sz w:val="22"/>
                <w:szCs w:val="22"/>
              </w:rPr>
            </w:pPr>
            <w:r w:rsidRPr="007E61C3">
              <w:rPr>
                <w:sz w:val="22"/>
                <w:szCs w:val="22"/>
              </w:rPr>
              <w:t>***</w:t>
            </w:r>
            <w:proofErr w:type="spellStart"/>
            <w:r w:rsidRPr="007E61C3">
              <w:rPr>
                <w:sz w:val="22"/>
                <w:szCs w:val="22"/>
              </w:rPr>
              <w:t>Cildo</w:t>
            </w:r>
            <w:proofErr w:type="spellEnd"/>
            <w:r w:rsidRPr="007E61C3">
              <w:rPr>
                <w:sz w:val="22"/>
                <w:szCs w:val="22"/>
              </w:rPr>
              <w:t xml:space="preserve"> </w:t>
            </w:r>
            <w:proofErr w:type="spellStart"/>
            <w:r w:rsidRPr="007E61C3">
              <w:rPr>
                <w:sz w:val="22"/>
                <w:szCs w:val="22"/>
              </w:rPr>
              <w:t>Meireles</w:t>
            </w:r>
            <w:proofErr w:type="spellEnd"/>
            <w:r w:rsidRPr="007E61C3">
              <w:rPr>
                <w:sz w:val="22"/>
                <w:szCs w:val="22"/>
              </w:rPr>
              <w:t xml:space="preserve">, “Statements (1981),” in </w:t>
            </w:r>
            <w:proofErr w:type="spellStart"/>
            <w:r w:rsidRPr="007E61C3">
              <w:rPr>
                <w:sz w:val="22"/>
                <w:szCs w:val="22"/>
              </w:rPr>
              <w:t>Alberro</w:t>
            </w:r>
            <w:proofErr w:type="spellEnd"/>
            <w:r w:rsidRPr="007E61C3">
              <w:rPr>
                <w:sz w:val="22"/>
                <w:szCs w:val="22"/>
              </w:rPr>
              <w:t xml:space="preserve"> and Stimson, 410-412. </w:t>
            </w:r>
          </w:p>
          <w:p w14:paraId="137CC401" w14:textId="77777777" w:rsidR="00196C97" w:rsidRDefault="00196C97" w:rsidP="00196C97">
            <w:pPr>
              <w:rPr>
                <w:sz w:val="22"/>
                <w:szCs w:val="22"/>
              </w:rPr>
            </w:pPr>
          </w:p>
          <w:p w14:paraId="347811F6" w14:textId="77777777" w:rsidR="00196C97" w:rsidRPr="00D73B87" w:rsidRDefault="00196C97" w:rsidP="00196C97">
            <w:pPr>
              <w:rPr>
                <w:b/>
                <w:bCs/>
              </w:rPr>
            </w:pPr>
            <w:r>
              <w:rPr>
                <w:b/>
                <w:bCs/>
              </w:rPr>
              <w:t xml:space="preserve">For Writing </w:t>
            </w:r>
            <w:proofErr w:type="gramStart"/>
            <w:r>
              <w:rPr>
                <w:b/>
                <w:bCs/>
              </w:rPr>
              <w:t>Option</w:t>
            </w:r>
            <w:proofErr w:type="gramEnd"/>
            <w:r>
              <w:rPr>
                <w:b/>
                <w:bCs/>
              </w:rPr>
              <w:t xml:space="preserve"> A, short paper #1 due Monday 11/1 at 11:59 via Canvas</w:t>
            </w:r>
          </w:p>
          <w:p w14:paraId="23F0F0F4" w14:textId="6713E2EB" w:rsidR="00196C97" w:rsidRDefault="00196C97" w:rsidP="00196C97"/>
        </w:tc>
      </w:tr>
      <w:tr w:rsidR="002B2B3F" w14:paraId="22FC76CA" w14:textId="77777777" w:rsidTr="00BB4313">
        <w:tc>
          <w:tcPr>
            <w:tcW w:w="1255" w:type="dxa"/>
          </w:tcPr>
          <w:p w14:paraId="778D9BFF" w14:textId="3FAB61E2" w:rsidR="002B2B3F" w:rsidRDefault="00BB4313">
            <w:r>
              <w:t>Th 11/4</w:t>
            </w:r>
          </w:p>
        </w:tc>
        <w:tc>
          <w:tcPr>
            <w:tcW w:w="8095" w:type="dxa"/>
          </w:tcPr>
          <w:p w14:paraId="156283C3" w14:textId="77777777" w:rsidR="00196C97" w:rsidRDefault="00196C97" w:rsidP="00196C97">
            <w:r>
              <w:t xml:space="preserve">On </w:t>
            </w:r>
            <w:proofErr w:type="spellStart"/>
            <w:r>
              <w:t>Kawara</w:t>
            </w:r>
            <w:proofErr w:type="spellEnd"/>
            <w:r>
              <w:t xml:space="preserve"> – Japan/US/Mexico</w:t>
            </w:r>
          </w:p>
          <w:p w14:paraId="7F658124" w14:textId="77777777" w:rsidR="00196C97" w:rsidRDefault="00196C97" w:rsidP="00196C97"/>
          <w:p w14:paraId="74182FD8" w14:textId="77777777" w:rsidR="00196C97" w:rsidRPr="00AF1D18" w:rsidRDefault="00196C97" w:rsidP="00196C97">
            <w:pPr>
              <w:rPr>
                <w:sz w:val="22"/>
                <w:szCs w:val="22"/>
              </w:rPr>
            </w:pPr>
            <w:r w:rsidRPr="00250031">
              <w:rPr>
                <w:sz w:val="22"/>
                <w:szCs w:val="22"/>
              </w:rPr>
              <w:t xml:space="preserve">Jung-Ah Woo, “On </w:t>
            </w:r>
            <w:proofErr w:type="spellStart"/>
            <w:r w:rsidRPr="00250031">
              <w:rPr>
                <w:sz w:val="22"/>
                <w:szCs w:val="22"/>
              </w:rPr>
              <w:t>Kawara’s</w:t>
            </w:r>
            <w:proofErr w:type="spellEnd"/>
            <w:r w:rsidRPr="00250031">
              <w:rPr>
                <w:sz w:val="22"/>
                <w:szCs w:val="22"/>
              </w:rPr>
              <w:t xml:space="preserve"> ‘Date Paintings’: Scenes of Horror and Boredom,” </w:t>
            </w:r>
            <w:r w:rsidRPr="00250031">
              <w:rPr>
                <w:i/>
                <w:iCs/>
                <w:sz w:val="22"/>
                <w:szCs w:val="22"/>
              </w:rPr>
              <w:t xml:space="preserve">Art Journal </w:t>
            </w:r>
            <w:r w:rsidRPr="00250031">
              <w:rPr>
                <w:sz w:val="22"/>
                <w:szCs w:val="22"/>
              </w:rPr>
              <w:t xml:space="preserve">69 3 (Fall 2010): 62-72. </w:t>
            </w:r>
            <w:r>
              <w:rPr>
                <w:sz w:val="22"/>
                <w:szCs w:val="22"/>
              </w:rPr>
              <w:t xml:space="preserve">Available with UW sign-in at </w:t>
            </w:r>
            <w:hyperlink r:id="rId12" w:history="1">
              <w:r w:rsidRPr="009B58E9">
                <w:rPr>
                  <w:rStyle w:val="Hyperlink"/>
                  <w:sz w:val="22"/>
                  <w:szCs w:val="22"/>
                </w:rPr>
                <w:t>https://www-jstor-org.offcampus.lib.washington.edu/stable/25800346?sid=primo&amp;socuuid=9df880f9-e08c-4685-a6b3-7ec9b3becbee&amp;socplat=email&amp;utm_source=email</w:t>
              </w:r>
            </w:hyperlink>
            <w:r>
              <w:rPr>
                <w:sz w:val="22"/>
                <w:szCs w:val="22"/>
              </w:rPr>
              <w:t xml:space="preserve"> </w:t>
            </w:r>
            <w:r w:rsidRPr="00AF1D18">
              <w:rPr>
                <w:sz w:val="22"/>
                <w:szCs w:val="22"/>
              </w:rPr>
              <w:t> </w:t>
            </w:r>
          </w:p>
          <w:p w14:paraId="0EA675A8" w14:textId="23594052" w:rsidR="002F3BDE" w:rsidRDefault="002F3BDE" w:rsidP="00196C97"/>
        </w:tc>
      </w:tr>
      <w:tr w:rsidR="002B2B3F" w14:paraId="5017ACB9" w14:textId="77777777" w:rsidTr="00BB4313">
        <w:tc>
          <w:tcPr>
            <w:tcW w:w="1255" w:type="dxa"/>
          </w:tcPr>
          <w:p w14:paraId="4A65E52B" w14:textId="0C5B885B" w:rsidR="002B2B3F" w:rsidRDefault="00BC0FBE">
            <w:r>
              <w:t>T 11/9</w:t>
            </w:r>
          </w:p>
        </w:tc>
        <w:tc>
          <w:tcPr>
            <w:tcW w:w="8095" w:type="dxa"/>
          </w:tcPr>
          <w:p w14:paraId="7D704614" w14:textId="77777777" w:rsidR="00196C97" w:rsidRDefault="00196C97" w:rsidP="00196C97">
            <w:r>
              <w:t>Japanese practices between conceptualism and the concrete</w:t>
            </w:r>
          </w:p>
          <w:p w14:paraId="573D62AD" w14:textId="77777777" w:rsidR="00196C97" w:rsidRDefault="00196C97" w:rsidP="00196C97"/>
          <w:p w14:paraId="68FF78F6" w14:textId="77777777" w:rsidR="00196C97" w:rsidRPr="00506CC1" w:rsidRDefault="00196C97" w:rsidP="00196C97">
            <w:pPr>
              <w:rPr>
                <w:b/>
                <w:bCs/>
                <w:sz w:val="22"/>
                <w:szCs w:val="22"/>
              </w:rPr>
            </w:pPr>
            <w:r w:rsidRPr="00506CC1">
              <w:rPr>
                <w:b/>
                <w:bCs/>
                <w:sz w:val="22"/>
                <w:szCs w:val="22"/>
              </w:rPr>
              <w:t xml:space="preserve">One presentation slot: 1) Ono and </w:t>
            </w:r>
            <w:proofErr w:type="spellStart"/>
            <w:r w:rsidRPr="00506CC1">
              <w:rPr>
                <w:b/>
                <w:bCs/>
                <w:sz w:val="22"/>
                <w:szCs w:val="22"/>
              </w:rPr>
              <w:t>Genpei</w:t>
            </w:r>
            <w:proofErr w:type="spellEnd"/>
          </w:p>
          <w:p w14:paraId="2BD067B6" w14:textId="77777777" w:rsidR="00196C97" w:rsidRPr="00506CC1" w:rsidRDefault="00196C97" w:rsidP="00196C97">
            <w:pPr>
              <w:rPr>
                <w:sz w:val="22"/>
                <w:szCs w:val="22"/>
              </w:rPr>
            </w:pPr>
          </w:p>
          <w:p w14:paraId="75276BA2" w14:textId="77777777" w:rsidR="00196C97" w:rsidRPr="00506CC1" w:rsidRDefault="00196C97" w:rsidP="00196C97">
            <w:pPr>
              <w:rPr>
                <w:sz w:val="22"/>
                <w:szCs w:val="22"/>
              </w:rPr>
            </w:pPr>
            <w:r w:rsidRPr="00506CC1">
              <w:rPr>
                <w:sz w:val="22"/>
                <w:szCs w:val="22"/>
              </w:rPr>
              <w:t xml:space="preserve">***Yoko Ono, “The Word of a Fabricator (1962),” in </w:t>
            </w:r>
            <w:proofErr w:type="spellStart"/>
            <w:r w:rsidRPr="00506CC1">
              <w:rPr>
                <w:sz w:val="22"/>
                <w:szCs w:val="22"/>
              </w:rPr>
              <w:t>Doryun</w:t>
            </w:r>
            <w:proofErr w:type="spellEnd"/>
            <w:r w:rsidRPr="00506CC1">
              <w:rPr>
                <w:sz w:val="22"/>
                <w:szCs w:val="22"/>
              </w:rPr>
              <w:t xml:space="preserve"> Chong et. al. eds., </w:t>
            </w:r>
            <w:r w:rsidRPr="00506CC1">
              <w:rPr>
                <w:i/>
                <w:iCs/>
                <w:sz w:val="22"/>
                <w:szCs w:val="22"/>
              </w:rPr>
              <w:t xml:space="preserve">From postwar to </w:t>
            </w:r>
            <w:proofErr w:type="gramStart"/>
            <w:r w:rsidRPr="00506CC1">
              <w:rPr>
                <w:i/>
                <w:iCs/>
                <w:sz w:val="22"/>
                <w:szCs w:val="22"/>
              </w:rPr>
              <w:t>postmodern :</w:t>
            </w:r>
            <w:proofErr w:type="gramEnd"/>
            <w:r w:rsidRPr="00506CC1">
              <w:rPr>
                <w:i/>
                <w:iCs/>
                <w:sz w:val="22"/>
                <w:szCs w:val="22"/>
              </w:rPr>
              <w:t xml:space="preserve"> art in Japan 1945-1989 / Primary documents.</w:t>
            </w:r>
            <w:r w:rsidRPr="00506CC1">
              <w:rPr>
                <w:sz w:val="22"/>
                <w:szCs w:val="22"/>
              </w:rPr>
              <w:t xml:space="preserve"> Durham: Duke UP, 2012, pp. 136-138.</w:t>
            </w:r>
          </w:p>
          <w:p w14:paraId="045920BD" w14:textId="77777777" w:rsidR="00196C97" w:rsidRPr="00506CC1" w:rsidRDefault="00196C97" w:rsidP="00196C97">
            <w:pPr>
              <w:rPr>
                <w:sz w:val="22"/>
                <w:szCs w:val="22"/>
              </w:rPr>
            </w:pPr>
          </w:p>
          <w:p w14:paraId="6A49A1F0" w14:textId="77777777" w:rsidR="00196C97" w:rsidRPr="00506CC1" w:rsidRDefault="00196C97" w:rsidP="00196C97">
            <w:pPr>
              <w:rPr>
                <w:sz w:val="22"/>
                <w:szCs w:val="22"/>
              </w:rPr>
            </w:pPr>
            <w:r w:rsidRPr="00506CC1">
              <w:rPr>
                <w:sz w:val="22"/>
                <w:szCs w:val="22"/>
              </w:rPr>
              <w:t>***</w:t>
            </w:r>
            <w:proofErr w:type="spellStart"/>
            <w:r w:rsidRPr="00506CC1">
              <w:rPr>
                <w:sz w:val="22"/>
                <w:szCs w:val="22"/>
              </w:rPr>
              <w:t>Akasegawa</w:t>
            </w:r>
            <w:proofErr w:type="spellEnd"/>
            <w:r w:rsidRPr="00506CC1">
              <w:rPr>
                <w:sz w:val="22"/>
                <w:szCs w:val="22"/>
              </w:rPr>
              <w:t xml:space="preserve"> </w:t>
            </w:r>
            <w:proofErr w:type="spellStart"/>
            <w:r w:rsidRPr="00506CC1">
              <w:rPr>
                <w:sz w:val="22"/>
                <w:szCs w:val="22"/>
              </w:rPr>
              <w:t>Genpei</w:t>
            </w:r>
            <w:proofErr w:type="spellEnd"/>
            <w:r w:rsidRPr="00506CC1">
              <w:rPr>
                <w:sz w:val="22"/>
                <w:szCs w:val="22"/>
              </w:rPr>
              <w:t>, “The Intent of the Act Based on the Intent of the Act – Before Passing Through the Courtroom (1966)” in Chong, pp. 187-191.</w:t>
            </w:r>
          </w:p>
          <w:p w14:paraId="25D665A1" w14:textId="77777777" w:rsidR="00196C97" w:rsidRPr="00506CC1" w:rsidRDefault="00196C97" w:rsidP="00196C97">
            <w:pPr>
              <w:rPr>
                <w:sz w:val="22"/>
                <w:szCs w:val="22"/>
              </w:rPr>
            </w:pPr>
          </w:p>
          <w:p w14:paraId="2D05AB7B" w14:textId="77777777" w:rsidR="00196C97" w:rsidRPr="00506CC1" w:rsidRDefault="00196C97" w:rsidP="00196C97">
            <w:pPr>
              <w:rPr>
                <w:sz w:val="22"/>
                <w:szCs w:val="22"/>
              </w:rPr>
            </w:pPr>
            <w:r w:rsidRPr="00506CC1">
              <w:rPr>
                <w:sz w:val="22"/>
                <w:szCs w:val="22"/>
              </w:rPr>
              <w:t>Nakahara Yusuke, “Room as Alibi: Gentle Criminals (1963)” in Chong, pp. 138-139.</w:t>
            </w:r>
          </w:p>
          <w:p w14:paraId="4D9046EE" w14:textId="77777777" w:rsidR="00196C97" w:rsidRPr="00506CC1" w:rsidRDefault="00196C97" w:rsidP="00196C97">
            <w:pPr>
              <w:rPr>
                <w:sz w:val="22"/>
                <w:szCs w:val="22"/>
              </w:rPr>
            </w:pPr>
          </w:p>
          <w:p w14:paraId="32FDE99C" w14:textId="77777777" w:rsidR="00196C97" w:rsidRPr="00506CC1" w:rsidRDefault="00196C97" w:rsidP="00196C97">
            <w:pPr>
              <w:rPr>
                <w:sz w:val="22"/>
                <w:szCs w:val="22"/>
              </w:rPr>
            </w:pPr>
            <w:r w:rsidRPr="00506CC1">
              <w:rPr>
                <w:sz w:val="22"/>
                <w:szCs w:val="22"/>
              </w:rPr>
              <w:t xml:space="preserve">Mika </w:t>
            </w:r>
            <w:proofErr w:type="spellStart"/>
            <w:r w:rsidRPr="00506CC1">
              <w:rPr>
                <w:sz w:val="22"/>
                <w:szCs w:val="22"/>
              </w:rPr>
              <w:t>Yoshitake</w:t>
            </w:r>
            <w:proofErr w:type="spellEnd"/>
            <w:r w:rsidRPr="00506CC1">
              <w:rPr>
                <w:sz w:val="22"/>
                <w:szCs w:val="22"/>
              </w:rPr>
              <w:t xml:space="preserve">, “Living Structures,” in </w:t>
            </w:r>
            <w:r w:rsidRPr="00506CC1">
              <w:rPr>
                <w:i/>
                <w:iCs/>
                <w:sz w:val="22"/>
                <w:szCs w:val="22"/>
              </w:rPr>
              <w:t>Requiem for the Sun: The Art of Mono-ha</w:t>
            </w:r>
            <w:r w:rsidRPr="00506CC1">
              <w:rPr>
                <w:sz w:val="22"/>
                <w:szCs w:val="22"/>
              </w:rPr>
              <w:t xml:space="preserve">. New York: Blum &amp; Poe, 2012, pp. 104-116. </w:t>
            </w:r>
          </w:p>
          <w:p w14:paraId="42158EE5" w14:textId="435A5016" w:rsidR="00543D4C" w:rsidRPr="000C2D47" w:rsidRDefault="00543D4C" w:rsidP="00196C97">
            <w:pPr>
              <w:rPr>
                <w:i/>
                <w:iCs/>
              </w:rPr>
            </w:pPr>
          </w:p>
        </w:tc>
      </w:tr>
      <w:tr w:rsidR="002B2B3F" w14:paraId="714159CE" w14:textId="77777777" w:rsidTr="00BB4313">
        <w:tc>
          <w:tcPr>
            <w:tcW w:w="1255" w:type="dxa"/>
          </w:tcPr>
          <w:p w14:paraId="374A24A0" w14:textId="4AEC5D07" w:rsidR="002B2B3F" w:rsidRDefault="00BC0FBE">
            <w:r>
              <w:t>Th 11/11</w:t>
            </w:r>
          </w:p>
        </w:tc>
        <w:tc>
          <w:tcPr>
            <w:tcW w:w="8095" w:type="dxa"/>
          </w:tcPr>
          <w:p w14:paraId="279A2845" w14:textId="77777777" w:rsidR="002B2B3F" w:rsidRDefault="00BC0FBE">
            <w:pPr>
              <w:rPr>
                <w:b/>
                <w:bCs/>
              </w:rPr>
            </w:pPr>
            <w:r w:rsidRPr="00C30E23">
              <w:rPr>
                <w:b/>
                <w:bCs/>
              </w:rPr>
              <w:t xml:space="preserve">Veterans Day – No class </w:t>
            </w:r>
          </w:p>
          <w:p w14:paraId="326BEBC9" w14:textId="15BA4FF5" w:rsidR="00543D4C" w:rsidRPr="00C30E23" w:rsidRDefault="00543D4C">
            <w:pPr>
              <w:rPr>
                <w:b/>
                <w:bCs/>
              </w:rPr>
            </w:pPr>
          </w:p>
        </w:tc>
      </w:tr>
      <w:tr w:rsidR="002B2B3F" w14:paraId="292BF83F" w14:textId="77777777" w:rsidTr="00BB4313">
        <w:tc>
          <w:tcPr>
            <w:tcW w:w="1255" w:type="dxa"/>
          </w:tcPr>
          <w:p w14:paraId="731F213A" w14:textId="6329AEF5" w:rsidR="002B2B3F" w:rsidRDefault="00EA363E">
            <w:r>
              <w:t>T 11/16</w:t>
            </w:r>
          </w:p>
        </w:tc>
        <w:tc>
          <w:tcPr>
            <w:tcW w:w="8095" w:type="dxa"/>
          </w:tcPr>
          <w:p w14:paraId="33FF563A" w14:textId="77777777" w:rsidR="00196C97" w:rsidRDefault="00196C97" w:rsidP="00196C97">
            <w:r>
              <w:t>Art &amp; Language</w:t>
            </w:r>
          </w:p>
          <w:p w14:paraId="659BBF3E" w14:textId="77777777" w:rsidR="00196C97" w:rsidRDefault="00196C97" w:rsidP="00196C97"/>
          <w:p w14:paraId="23049500" w14:textId="77777777" w:rsidR="00196C97" w:rsidRDefault="00196C97" w:rsidP="00196C97">
            <w:pPr>
              <w:rPr>
                <w:sz w:val="22"/>
                <w:szCs w:val="22"/>
              </w:rPr>
            </w:pPr>
            <w:r w:rsidRPr="00990FF9">
              <w:rPr>
                <w:sz w:val="22"/>
                <w:szCs w:val="22"/>
              </w:rPr>
              <w:t xml:space="preserve">Robert Bailey, </w:t>
            </w:r>
            <w:r w:rsidRPr="00990FF9">
              <w:rPr>
                <w:i/>
                <w:iCs/>
                <w:sz w:val="22"/>
                <w:szCs w:val="22"/>
              </w:rPr>
              <w:t>Art and Language International: Conceptual Art between Art Worlds</w:t>
            </w:r>
            <w:r w:rsidRPr="00990FF9">
              <w:rPr>
                <w:sz w:val="22"/>
                <w:szCs w:val="22"/>
              </w:rPr>
              <w:t>. Durham: Duke UP, 2016, pp. 1</w:t>
            </w:r>
            <w:r>
              <w:rPr>
                <w:sz w:val="22"/>
                <w:szCs w:val="22"/>
              </w:rPr>
              <w:t>3</w:t>
            </w:r>
            <w:r w:rsidRPr="00990FF9">
              <w:rPr>
                <w:sz w:val="22"/>
                <w:szCs w:val="22"/>
              </w:rPr>
              <w:t xml:space="preserve">-43. </w:t>
            </w:r>
          </w:p>
          <w:p w14:paraId="01D4F4EC" w14:textId="77777777" w:rsidR="00196C97" w:rsidRPr="00843982" w:rsidRDefault="00196C97" w:rsidP="00196C97">
            <w:pPr>
              <w:rPr>
                <w:b/>
                <w:bCs/>
                <w:sz w:val="22"/>
                <w:szCs w:val="22"/>
              </w:rPr>
            </w:pPr>
            <w:r>
              <w:rPr>
                <w:b/>
                <w:bCs/>
                <w:sz w:val="22"/>
                <w:szCs w:val="22"/>
              </w:rPr>
              <w:t xml:space="preserve">Hypothes.is annotation opportunity </w:t>
            </w:r>
          </w:p>
          <w:p w14:paraId="0C4AB5C5" w14:textId="28AD50F6" w:rsidR="00C6542F" w:rsidRDefault="00C6542F" w:rsidP="00196C97"/>
        </w:tc>
      </w:tr>
      <w:tr w:rsidR="002B2B3F" w14:paraId="4B4B30F3" w14:textId="77777777" w:rsidTr="00BB4313">
        <w:tc>
          <w:tcPr>
            <w:tcW w:w="1255" w:type="dxa"/>
          </w:tcPr>
          <w:p w14:paraId="16DF4CC6" w14:textId="0CC30F22" w:rsidR="002B2B3F" w:rsidRDefault="00EA363E">
            <w:r>
              <w:lastRenderedPageBreak/>
              <w:t>Th 11/18</w:t>
            </w:r>
          </w:p>
        </w:tc>
        <w:tc>
          <w:tcPr>
            <w:tcW w:w="8095" w:type="dxa"/>
          </w:tcPr>
          <w:p w14:paraId="75CDC026" w14:textId="77777777" w:rsidR="00196C97" w:rsidRDefault="00196C97" w:rsidP="00196C97">
            <w:r>
              <w:t>The New Art Practice in Yugoslavia</w:t>
            </w:r>
          </w:p>
          <w:p w14:paraId="71516C62" w14:textId="77777777" w:rsidR="00196C97" w:rsidRDefault="00196C97" w:rsidP="00196C97"/>
          <w:p w14:paraId="5BB7F219" w14:textId="77777777" w:rsidR="00196C97" w:rsidRPr="007E757D" w:rsidRDefault="00196C97" w:rsidP="00196C97">
            <w:pPr>
              <w:rPr>
                <w:sz w:val="22"/>
                <w:szCs w:val="22"/>
              </w:rPr>
            </w:pPr>
            <w:r w:rsidRPr="007E757D">
              <w:rPr>
                <w:sz w:val="22"/>
                <w:szCs w:val="22"/>
              </w:rPr>
              <w:t>Marko Ili</w:t>
            </w:r>
            <w:r w:rsidRPr="007E757D">
              <w:rPr>
                <w:sz w:val="22"/>
                <w:szCs w:val="22"/>
                <w:lang w:val="hr-HR"/>
              </w:rPr>
              <w:t xml:space="preserve">ć, </w:t>
            </w:r>
            <w:r w:rsidRPr="007E757D">
              <w:rPr>
                <w:i/>
                <w:iCs/>
                <w:sz w:val="22"/>
                <w:szCs w:val="22"/>
                <w:lang w:val="hr-HR"/>
              </w:rPr>
              <w:t xml:space="preserve">A </w:t>
            </w:r>
            <w:proofErr w:type="spellStart"/>
            <w:r w:rsidRPr="007E757D">
              <w:rPr>
                <w:i/>
                <w:iCs/>
                <w:sz w:val="22"/>
                <w:szCs w:val="22"/>
                <w:lang w:val="hr-HR"/>
              </w:rPr>
              <w:t>Slow</w:t>
            </w:r>
            <w:proofErr w:type="spellEnd"/>
            <w:r w:rsidRPr="007E757D">
              <w:rPr>
                <w:i/>
                <w:iCs/>
                <w:sz w:val="22"/>
                <w:szCs w:val="22"/>
                <w:lang w:val="hr-HR"/>
              </w:rPr>
              <w:t xml:space="preserve"> </w:t>
            </w:r>
            <w:proofErr w:type="spellStart"/>
            <w:r w:rsidRPr="007E757D">
              <w:rPr>
                <w:i/>
                <w:iCs/>
                <w:sz w:val="22"/>
                <w:szCs w:val="22"/>
                <w:lang w:val="hr-HR"/>
              </w:rPr>
              <w:t>Burning</w:t>
            </w:r>
            <w:proofErr w:type="spellEnd"/>
            <w:r w:rsidRPr="007E757D">
              <w:rPr>
                <w:i/>
                <w:iCs/>
                <w:sz w:val="22"/>
                <w:szCs w:val="22"/>
                <w:lang w:val="hr-HR"/>
              </w:rPr>
              <w:t xml:space="preserve"> </w:t>
            </w:r>
            <w:proofErr w:type="spellStart"/>
            <w:r w:rsidRPr="007E757D">
              <w:rPr>
                <w:i/>
                <w:iCs/>
                <w:sz w:val="22"/>
                <w:szCs w:val="22"/>
                <w:lang w:val="hr-HR"/>
              </w:rPr>
              <w:t>Fire</w:t>
            </w:r>
            <w:proofErr w:type="spellEnd"/>
            <w:r w:rsidRPr="007E757D">
              <w:rPr>
                <w:i/>
                <w:iCs/>
                <w:sz w:val="22"/>
                <w:szCs w:val="22"/>
                <w:lang w:val="hr-HR"/>
              </w:rPr>
              <w:t xml:space="preserve">: </w:t>
            </w:r>
            <w:r w:rsidRPr="007E757D">
              <w:rPr>
                <w:i/>
                <w:iCs/>
                <w:sz w:val="22"/>
                <w:szCs w:val="22"/>
              </w:rPr>
              <w:t>The Rise of the New Art Practice in Yugoslavia</w:t>
            </w:r>
            <w:r w:rsidRPr="007E757D">
              <w:rPr>
                <w:sz w:val="22"/>
                <w:szCs w:val="22"/>
              </w:rPr>
              <w:t xml:space="preserve">. Cambridge: MIT Press, 2020, pp. 115-166. </w:t>
            </w:r>
          </w:p>
          <w:p w14:paraId="0F911123" w14:textId="2736F450" w:rsidR="0085115B" w:rsidRDefault="0085115B" w:rsidP="00196C97"/>
        </w:tc>
      </w:tr>
      <w:tr w:rsidR="002B2B3F" w14:paraId="0E0C5F9E" w14:textId="77777777" w:rsidTr="00BB4313">
        <w:tc>
          <w:tcPr>
            <w:tcW w:w="1255" w:type="dxa"/>
          </w:tcPr>
          <w:p w14:paraId="1EA1ADD3" w14:textId="49B2BFA3" w:rsidR="002B2B3F" w:rsidRDefault="00EA363E">
            <w:r>
              <w:t>T 11/23</w:t>
            </w:r>
          </w:p>
        </w:tc>
        <w:tc>
          <w:tcPr>
            <w:tcW w:w="8095" w:type="dxa"/>
          </w:tcPr>
          <w:p w14:paraId="554BDD4D" w14:textId="77777777" w:rsidR="00196C97" w:rsidRDefault="00196C97" w:rsidP="00196C97">
            <w:r>
              <w:t xml:space="preserve">Central and Eastern Europe </w:t>
            </w:r>
          </w:p>
          <w:p w14:paraId="5A75C35D" w14:textId="77777777" w:rsidR="00196C97" w:rsidRDefault="00196C97" w:rsidP="00196C97"/>
          <w:p w14:paraId="72D4B24E" w14:textId="77777777" w:rsidR="00196C97" w:rsidRPr="00506CC1" w:rsidRDefault="00196C97" w:rsidP="00196C97">
            <w:pPr>
              <w:rPr>
                <w:b/>
                <w:bCs/>
                <w:sz w:val="22"/>
                <w:szCs w:val="22"/>
              </w:rPr>
            </w:pPr>
            <w:r>
              <w:rPr>
                <w:b/>
                <w:bCs/>
                <w:sz w:val="22"/>
                <w:szCs w:val="22"/>
              </w:rPr>
              <w:t xml:space="preserve">One </w:t>
            </w:r>
            <w:r w:rsidRPr="00506CC1">
              <w:rPr>
                <w:b/>
                <w:bCs/>
                <w:sz w:val="22"/>
                <w:szCs w:val="22"/>
              </w:rPr>
              <w:t xml:space="preserve">presentation slot: 1) </w:t>
            </w:r>
            <w:proofErr w:type="spellStart"/>
            <w:r w:rsidRPr="0099079D">
              <w:rPr>
                <w:b/>
                <w:bCs/>
                <w:sz w:val="22"/>
                <w:szCs w:val="22"/>
              </w:rPr>
              <w:t>S</w:t>
            </w:r>
            <w:r w:rsidRPr="00506CC1">
              <w:rPr>
                <w:b/>
                <w:bCs/>
                <w:sz w:val="22"/>
                <w:szCs w:val="22"/>
              </w:rPr>
              <w:t>zentjóby</w:t>
            </w:r>
            <w:proofErr w:type="spellEnd"/>
            <w:r w:rsidRPr="00506CC1">
              <w:rPr>
                <w:b/>
                <w:bCs/>
                <w:sz w:val="22"/>
                <w:szCs w:val="22"/>
              </w:rPr>
              <w:t xml:space="preserve"> and </w:t>
            </w:r>
            <w:proofErr w:type="spellStart"/>
            <w:r w:rsidRPr="00506CC1">
              <w:rPr>
                <w:b/>
                <w:bCs/>
                <w:sz w:val="22"/>
                <w:szCs w:val="22"/>
              </w:rPr>
              <w:t>Pauer</w:t>
            </w:r>
            <w:proofErr w:type="spellEnd"/>
          </w:p>
          <w:p w14:paraId="64C94D46" w14:textId="77777777" w:rsidR="00196C97" w:rsidRDefault="00196C97" w:rsidP="00196C97"/>
          <w:p w14:paraId="19A668D9" w14:textId="77777777" w:rsidR="00196C97" w:rsidRPr="007E757D" w:rsidRDefault="00196C97" w:rsidP="00196C97">
            <w:pPr>
              <w:rPr>
                <w:sz w:val="22"/>
                <w:szCs w:val="22"/>
              </w:rPr>
            </w:pPr>
            <w:r w:rsidRPr="007E757D">
              <w:rPr>
                <w:sz w:val="22"/>
                <w:szCs w:val="22"/>
                <w:lang w:val="hr-HR"/>
              </w:rPr>
              <w:t xml:space="preserve">***Đuro </w:t>
            </w:r>
            <w:proofErr w:type="spellStart"/>
            <w:r w:rsidRPr="007E757D">
              <w:rPr>
                <w:sz w:val="22"/>
                <w:szCs w:val="22"/>
                <w:lang w:val="hr-HR"/>
              </w:rPr>
              <w:t>Seder</w:t>
            </w:r>
            <w:proofErr w:type="spellEnd"/>
            <w:r w:rsidRPr="007E757D">
              <w:rPr>
                <w:sz w:val="22"/>
                <w:szCs w:val="22"/>
                <w:lang w:val="hr-HR"/>
              </w:rPr>
              <w:t xml:space="preserve">, </w:t>
            </w:r>
            <w:r w:rsidRPr="007E757D">
              <w:rPr>
                <w:sz w:val="22"/>
                <w:szCs w:val="22"/>
              </w:rPr>
              <w:t xml:space="preserve">“The Collective Work (1963),” accessible at </w:t>
            </w:r>
            <w:hyperlink r:id="rId13" w:history="1">
              <w:r w:rsidRPr="007E757D">
                <w:rPr>
                  <w:rStyle w:val="Hyperlink"/>
                  <w:sz w:val="22"/>
                  <w:szCs w:val="22"/>
                </w:rPr>
                <w:t>http://tranzit.org/exhibitionarchive/texts/duro-seder-the-collective-work/</w:t>
              </w:r>
            </w:hyperlink>
            <w:r w:rsidRPr="007E757D">
              <w:rPr>
                <w:sz w:val="22"/>
                <w:szCs w:val="22"/>
              </w:rPr>
              <w:t xml:space="preserve"> </w:t>
            </w:r>
          </w:p>
          <w:p w14:paraId="20110E52" w14:textId="77777777" w:rsidR="00196C97" w:rsidRPr="007E757D" w:rsidRDefault="00196C97" w:rsidP="00196C97">
            <w:pPr>
              <w:rPr>
                <w:sz w:val="22"/>
                <w:szCs w:val="22"/>
              </w:rPr>
            </w:pPr>
          </w:p>
          <w:p w14:paraId="495F3030" w14:textId="77777777" w:rsidR="00196C97" w:rsidRPr="007E757D" w:rsidRDefault="00196C97" w:rsidP="00196C97">
            <w:pPr>
              <w:rPr>
                <w:sz w:val="22"/>
                <w:szCs w:val="22"/>
              </w:rPr>
            </w:pPr>
            <w:r w:rsidRPr="007E757D">
              <w:rPr>
                <w:sz w:val="22"/>
                <w:szCs w:val="22"/>
              </w:rPr>
              <w:t xml:space="preserve">***Ilya </w:t>
            </w:r>
            <w:proofErr w:type="spellStart"/>
            <w:r w:rsidRPr="007E757D">
              <w:rPr>
                <w:sz w:val="22"/>
                <w:szCs w:val="22"/>
              </w:rPr>
              <w:t>Kabakov</w:t>
            </w:r>
            <w:proofErr w:type="spellEnd"/>
            <w:r w:rsidRPr="007E757D">
              <w:rPr>
                <w:sz w:val="22"/>
                <w:szCs w:val="22"/>
              </w:rPr>
              <w:t xml:space="preserve">, “The Point is the Turning of the Pages (1970s),” accessible at </w:t>
            </w:r>
            <w:hyperlink r:id="rId14" w:history="1">
              <w:r w:rsidRPr="007E757D">
                <w:rPr>
                  <w:rStyle w:val="Hyperlink"/>
                  <w:sz w:val="22"/>
                  <w:szCs w:val="22"/>
                </w:rPr>
                <w:t>http://tranzit.org/exhibitionarchive/texts/ilya-kabakov-the-point/</w:t>
              </w:r>
            </w:hyperlink>
            <w:r w:rsidRPr="007E757D">
              <w:rPr>
                <w:sz w:val="22"/>
                <w:szCs w:val="22"/>
              </w:rPr>
              <w:t xml:space="preserve"> </w:t>
            </w:r>
          </w:p>
          <w:p w14:paraId="63C87774" w14:textId="77777777" w:rsidR="00196C97" w:rsidRPr="007E757D" w:rsidRDefault="00196C97" w:rsidP="00196C97">
            <w:pPr>
              <w:rPr>
                <w:sz w:val="22"/>
                <w:szCs w:val="22"/>
              </w:rPr>
            </w:pPr>
          </w:p>
          <w:p w14:paraId="1C9B8B10" w14:textId="77777777" w:rsidR="00196C97" w:rsidRPr="007E757D" w:rsidRDefault="00196C97" w:rsidP="00196C97">
            <w:pPr>
              <w:rPr>
                <w:sz w:val="22"/>
                <w:szCs w:val="22"/>
              </w:rPr>
            </w:pPr>
            <w:r w:rsidRPr="007E757D">
              <w:rPr>
                <w:sz w:val="22"/>
                <w:szCs w:val="22"/>
              </w:rPr>
              <w:t>***</w:t>
            </w:r>
            <w:proofErr w:type="spellStart"/>
            <w:r w:rsidRPr="0099079D">
              <w:rPr>
                <w:sz w:val="22"/>
                <w:szCs w:val="22"/>
              </w:rPr>
              <w:t>Tamás</w:t>
            </w:r>
            <w:proofErr w:type="spellEnd"/>
            <w:r w:rsidRPr="0099079D">
              <w:rPr>
                <w:sz w:val="22"/>
                <w:szCs w:val="22"/>
              </w:rPr>
              <w:t xml:space="preserve"> </w:t>
            </w:r>
            <w:proofErr w:type="spellStart"/>
            <w:r w:rsidRPr="0099079D">
              <w:rPr>
                <w:sz w:val="22"/>
                <w:szCs w:val="22"/>
              </w:rPr>
              <w:t>S</w:t>
            </w:r>
            <w:r w:rsidRPr="007E757D">
              <w:rPr>
                <w:sz w:val="22"/>
                <w:szCs w:val="22"/>
              </w:rPr>
              <w:t>zentjóby</w:t>
            </w:r>
            <w:proofErr w:type="spellEnd"/>
            <w:r w:rsidRPr="007E757D">
              <w:rPr>
                <w:sz w:val="22"/>
                <w:szCs w:val="22"/>
              </w:rPr>
              <w:t>, “</w:t>
            </w:r>
            <w:r w:rsidRPr="0099079D">
              <w:rPr>
                <w:sz w:val="22"/>
                <w:szCs w:val="22"/>
              </w:rPr>
              <w:t>Exclusion exercise – Punishment-preventive autotherapy (1969-72)</w:t>
            </w:r>
            <w:r w:rsidRPr="007E757D">
              <w:rPr>
                <w:sz w:val="22"/>
                <w:szCs w:val="22"/>
              </w:rPr>
              <w:t xml:space="preserve">,” accessible at </w:t>
            </w:r>
            <w:hyperlink r:id="rId15" w:history="1">
              <w:r w:rsidRPr="007E757D">
                <w:rPr>
                  <w:rStyle w:val="Hyperlink"/>
                  <w:sz w:val="22"/>
                  <w:szCs w:val="22"/>
                </w:rPr>
                <w:t>http://tranzit.org/exhibitionarchive/texts/exclusion-exercise/</w:t>
              </w:r>
            </w:hyperlink>
            <w:r w:rsidRPr="007E757D">
              <w:rPr>
                <w:sz w:val="22"/>
                <w:szCs w:val="22"/>
              </w:rPr>
              <w:t xml:space="preserve"> </w:t>
            </w:r>
          </w:p>
          <w:p w14:paraId="1632AA33" w14:textId="77777777" w:rsidR="00196C97" w:rsidRPr="007E757D" w:rsidRDefault="00196C97" w:rsidP="00196C97">
            <w:pPr>
              <w:rPr>
                <w:sz w:val="22"/>
                <w:szCs w:val="22"/>
              </w:rPr>
            </w:pPr>
          </w:p>
          <w:p w14:paraId="30B821A6" w14:textId="77777777" w:rsidR="00196C97" w:rsidRPr="007E757D" w:rsidRDefault="00196C97" w:rsidP="00196C97">
            <w:pPr>
              <w:rPr>
                <w:sz w:val="22"/>
                <w:szCs w:val="22"/>
              </w:rPr>
            </w:pPr>
            <w:r w:rsidRPr="007E757D">
              <w:rPr>
                <w:sz w:val="22"/>
                <w:szCs w:val="22"/>
              </w:rPr>
              <w:t>***</w:t>
            </w:r>
            <w:proofErr w:type="spellStart"/>
            <w:r w:rsidRPr="00DF0C74">
              <w:rPr>
                <w:sz w:val="22"/>
                <w:szCs w:val="22"/>
              </w:rPr>
              <w:t>Gyula</w:t>
            </w:r>
            <w:proofErr w:type="spellEnd"/>
            <w:r w:rsidRPr="00DF0C74">
              <w:rPr>
                <w:sz w:val="22"/>
                <w:szCs w:val="22"/>
              </w:rPr>
              <w:t xml:space="preserve"> </w:t>
            </w:r>
            <w:proofErr w:type="spellStart"/>
            <w:r w:rsidRPr="00DF0C74">
              <w:rPr>
                <w:sz w:val="22"/>
                <w:szCs w:val="22"/>
              </w:rPr>
              <w:t>P</w:t>
            </w:r>
            <w:r w:rsidRPr="007E757D">
              <w:rPr>
                <w:sz w:val="22"/>
                <w:szCs w:val="22"/>
              </w:rPr>
              <w:t>auer</w:t>
            </w:r>
            <w:proofErr w:type="spellEnd"/>
            <w:r w:rsidRPr="007E757D">
              <w:rPr>
                <w:sz w:val="22"/>
                <w:szCs w:val="22"/>
              </w:rPr>
              <w:t>,</w:t>
            </w:r>
            <w:r w:rsidRPr="00DF0C74">
              <w:rPr>
                <w:sz w:val="22"/>
                <w:szCs w:val="22"/>
              </w:rPr>
              <w:t xml:space="preserve"> </w:t>
            </w:r>
            <w:r w:rsidRPr="007E757D">
              <w:rPr>
                <w:sz w:val="22"/>
                <w:szCs w:val="22"/>
              </w:rPr>
              <w:t>“</w:t>
            </w:r>
            <w:r w:rsidRPr="00DF0C74">
              <w:rPr>
                <w:sz w:val="22"/>
                <w:szCs w:val="22"/>
              </w:rPr>
              <w:t>The Second Pseudo Manifesto (Advertisement) (1972)</w:t>
            </w:r>
            <w:r w:rsidRPr="007E757D">
              <w:rPr>
                <w:sz w:val="22"/>
                <w:szCs w:val="22"/>
              </w:rPr>
              <w:t xml:space="preserve">,” accessible at </w:t>
            </w:r>
            <w:hyperlink r:id="rId16" w:history="1">
              <w:r w:rsidRPr="007E757D">
                <w:rPr>
                  <w:rStyle w:val="Hyperlink"/>
                  <w:sz w:val="22"/>
                  <w:szCs w:val="22"/>
                </w:rPr>
                <w:t>http://tranzit.org/exhibitionarchive/texts/gyula-pauer-pseudo-advertisement/</w:t>
              </w:r>
            </w:hyperlink>
            <w:r w:rsidRPr="007E757D">
              <w:rPr>
                <w:sz w:val="22"/>
                <w:szCs w:val="22"/>
              </w:rPr>
              <w:t xml:space="preserve"> </w:t>
            </w:r>
          </w:p>
          <w:p w14:paraId="3B963F6F" w14:textId="628FC6D0" w:rsidR="00906E41" w:rsidRDefault="00906E41" w:rsidP="00196C97"/>
        </w:tc>
      </w:tr>
      <w:tr w:rsidR="002B2B3F" w14:paraId="422BC8A3" w14:textId="77777777" w:rsidTr="00BB4313">
        <w:tc>
          <w:tcPr>
            <w:tcW w:w="1255" w:type="dxa"/>
          </w:tcPr>
          <w:p w14:paraId="0BBCDF28" w14:textId="3696EFC3" w:rsidR="002B2B3F" w:rsidRDefault="00EA363E">
            <w:r>
              <w:t>Th 11/25</w:t>
            </w:r>
          </w:p>
        </w:tc>
        <w:tc>
          <w:tcPr>
            <w:tcW w:w="8095" w:type="dxa"/>
          </w:tcPr>
          <w:p w14:paraId="319F9FC2" w14:textId="77777777" w:rsidR="002B2B3F" w:rsidRDefault="00EA363E">
            <w:pPr>
              <w:rPr>
                <w:b/>
                <w:bCs/>
              </w:rPr>
            </w:pPr>
            <w:r w:rsidRPr="00C30E23">
              <w:rPr>
                <w:b/>
                <w:bCs/>
              </w:rPr>
              <w:t>Thanksgiving – No class</w:t>
            </w:r>
          </w:p>
          <w:p w14:paraId="67C9C231" w14:textId="68C03AE0" w:rsidR="002E36BB" w:rsidRPr="00C30E23" w:rsidRDefault="002E36BB">
            <w:pPr>
              <w:rPr>
                <w:b/>
                <w:bCs/>
              </w:rPr>
            </w:pPr>
          </w:p>
        </w:tc>
      </w:tr>
      <w:tr w:rsidR="002B2B3F" w14:paraId="63A8F446" w14:textId="77777777" w:rsidTr="00BB4313">
        <w:tc>
          <w:tcPr>
            <w:tcW w:w="1255" w:type="dxa"/>
          </w:tcPr>
          <w:p w14:paraId="24BCF234" w14:textId="3F1DF41E" w:rsidR="002B2B3F" w:rsidRDefault="00EA363E">
            <w:r>
              <w:t>T 11/30</w:t>
            </w:r>
          </w:p>
        </w:tc>
        <w:tc>
          <w:tcPr>
            <w:tcW w:w="8095" w:type="dxa"/>
          </w:tcPr>
          <w:p w14:paraId="35212003" w14:textId="77777777" w:rsidR="00196C97" w:rsidRDefault="00196C97" w:rsidP="00196C97">
            <w:r>
              <w:t xml:space="preserve">Conceptualism and Performance </w:t>
            </w:r>
          </w:p>
          <w:p w14:paraId="52D5D28E" w14:textId="77777777" w:rsidR="00196C97" w:rsidRDefault="00196C97" w:rsidP="00196C97"/>
          <w:p w14:paraId="6FFB65A7" w14:textId="77777777" w:rsidR="00196C97" w:rsidRDefault="00196C97" w:rsidP="00196C97">
            <w:pPr>
              <w:rPr>
                <w:sz w:val="22"/>
                <w:szCs w:val="22"/>
              </w:rPr>
            </w:pPr>
            <w:r w:rsidRPr="00906E41">
              <w:rPr>
                <w:sz w:val="22"/>
                <w:szCs w:val="22"/>
              </w:rPr>
              <w:t xml:space="preserve">Genevieve Hyacinthe, </w:t>
            </w:r>
            <w:r w:rsidRPr="00906E41">
              <w:rPr>
                <w:i/>
                <w:iCs/>
                <w:sz w:val="22"/>
                <w:szCs w:val="22"/>
              </w:rPr>
              <w:t>Radical Virtuosity: Ana Mendieta and the Black Atlantic</w:t>
            </w:r>
            <w:r w:rsidRPr="00906E41">
              <w:rPr>
                <w:sz w:val="22"/>
                <w:szCs w:val="22"/>
              </w:rPr>
              <w:t xml:space="preserve">. Cambridge: MIT Press, 2019, pages TBA. </w:t>
            </w:r>
          </w:p>
          <w:p w14:paraId="1A77B03B" w14:textId="77777777" w:rsidR="00196C97" w:rsidRPr="00E60364" w:rsidRDefault="00196C97" w:rsidP="00196C97">
            <w:pPr>
              <w:rPr>
                <w:b/>
                <w:bCs/>
                <w:sz w:val="22"/>
                <w:szCs w:val="22"/>
              </w:rPr>
            </w:pPr>
            <w:r>
              <w:rPr>
                <w:b/>
                <w:bCs/>
                <w:sz w:val="22"/>
                <w:szCs w:val="22"/>
              </w:rPr>
              <w:t xml:space="preserve">Hypothes.is annotation opportunity </w:t>
            </w:r>
          </w:p>
          <w:p w14:paraId="7FA47853" w14:textId="27FD730C" w:rsidR="002B2B3F" w:rsidRDefault="002B2B3F" w:rsidP="00196C97"/>
        </w:tc>
      </w:tr>
      <w:tr w:rsidR="00EA363E" w14:paraId="771709A3" w14:textId="77777777" w:rsidTr="00BB4313">
        <w:tc>
          <w:tcPr>
            <w:tcW w:w="1255" w:type="dxa"/>
          </w:tcPr>
          <w:p w14:paraId="30AEB4FB" w14:textId="2EFB8670" w:rsidR="00EA363E" w:rsidRDefault="00EA363E">
            <w:r>
              <w:t>Th 12/1</w:t>
            </w:r>
          </w:p>
        </w:tc>
        <w:tc>
          <w:tcPr>
            <w:tcW w:w="8095" w:type="dxa"/>
          </w:tcPr>
          <w:p w14:paraId="1157F3EF" w14:textId="77777777" w:rsidR="00196C97" w:rsidRDefault="00196C97" w:rsidP="00196C97">
            <w:r>
              <w:t>Conceptualism and the condition of contemporary art</w:t>
            </w:r>
          </w:p>
          <w:p w14:paraId="7635BF3C" w14:textId="77777777" w:rsidR="00196C97" w:rsidRDefault="00196C97" w:rsidP="00196C97"/>
          <w:p w14:paraId="6CC9271B" w14:textId="32536D03" w:rsidR="00196C97" w:rsidRPr="00196C97" w:rsidRDefault="00196C97" w:rsidP="00196C97">
            <w:pPr>
              <w:rPr>
                <w:sz w:val="22"/>
                <w:szCs w:val="22"/>
              </w:rPr>
            </w:pPr>
            <w:r w:rsidRPr="00B95F26">
              <w:rPr>
                <w:sz w:val="22"/>
                <w:szCs w:val="22"/>
              </w:rPr>
              <w:t xml:space="preserve">Terry Smith, “One and Three Ideas: Conceptualism Before, During, and After Conceptual Art,” in Smith and Robert Bailey, </w:t>
            </w:r>
            <w:r w:rsidRPr="00B95F26">
              <w:rPr>
                <w:i/>
                <w:iCs/>
                <w:sz w:val="22"/>
                <w:szCs w:val="22"/>
              </w:rPr>
              <w:t>One and Five Ideas: On Conceptual Art and Conceptualism</w:t>
            </w:r>
            <w:r w:rsidRPr="00B95F26">
              <w:rPr>
                <w:sz w:val="22"/>
                <w:szCs w:val="22"/>
              </w:rPr>
              <w:t xml:space="preserve">. Durham: Duke UP, 2017, pp. 117-144. </w:t>
            </w:r>
          </w:p>
          <w:p w14:paraId="3961C6DE" w14:textId="107828FD" w:rsidR="00196C97" w:rsidRDefault="00196C97" w:rsidP="00196C97"/>
        </w:tc>
      </w:tr>
      <w:tr w:rsidR="00EA363E" w14:paraId="0025E9AA" w14:textId="77777777" w:rsidTr="00BB4313">
        <w:tc>
          <w:tcPr>
            <w:tcW w:w="1255" w:type="dxa"/>
          </w:tcPr>
          <w:p w14:paraId="11A0080A" w14:textId="2CDA272D" w:rsidR="00EA363E" w:rsidRDefault="00EA363E">
            <w:r>
              <w:t>T 12/7</w:t>
            </w:r>
          </w:p>
        </w:tc>
        <w:tc>
          <w:tcPr>
            <w:tcW w:w="8095" w:type="dxa"/>
          </w:tcPr>
          <w:p w14:paraId="402281A0" w14:textId="77777777" w:rsidR="001A6A65" w:rsidRDefault="001A6A65" w:rsidP="001A6A65">
            <w:r>
              <w:t>(Post)conceptual painting</w:t>
            </w:r>
          </w:p>
          <w:p w14:paraId="06D3BB62" w14:textId="77777777" w:rsidR="001A6A65" w:rsidRDefault="001A6A65" w:rsidP="001A6A65"/>
          <w:p w14:paraId="03C8536E" w14:textId="6183708D" w:rsidR="001A6A65" w:rsidRDefault="00CA78F5" w:rsidP="001A6A65">
            <w:pPr>
              <w:rPr>
                <w:sz w:val="22"/>
                <w:szCs w:val="22"/>
              </w:rPr>
            </w:pPr>
            <w:r>
              <w:rPr>
                <w:sz w:val="22"/>
                <w:szCs w:val="22"/>
              </w:rPr>
              <w:t xml:space="preserve">Winnie Wong, </w:t>
            </w:r>
            <w:r>
              <w:rPr>
                <w:i/>
                <w:iCs/>
                <w:sz w:val="22"/>
                <w:szCs w:val="22"/>
              </w:rPr>
              <w:t>Van Gogh on Demand: China and the Readymade</w:t>
            </w:r>
            <w:r>
              <w:rPr>
                <w:sz w:val="22"/>
                <w:szCs w:val="22"/>
              </w:rPr>
              <w:t xml:space="preserve">. Cambridge: MIT Press, 2014, pages TBA. </w:t>
            </w:r>
          </w:p>
          <w:p w14:paraId="0A81B9FA" w14:textId="7A9AFCAD" w:rsidR="00731507" w:rsidRPr="00731507" w:rsidRDefault="00731507" w:rsidP="001A6A65">
            <w:pPr>
              <w:rPr>
                <w:b/>
                <w:bCs/>
                <w:sz w:val="22"/>
                <w:szCs w:val="22"/>
              </w:rPr>
            </w:pPr>
            <w:r>
              <w:rPr>
                <w:b/>
                <w:bCs/>
                <w:sz w:val="22"/>
                <w:szCs w:val="22"/>
              </w:rPr>
              <w:t xml:space="preserve">Hypothes.is annotation opportunity </w:t>
            </w:r>
          </w:p>
          <w:p w14:paraId="4361206E" w14:textId="0DB34E3B" w:rsidR="00EA363E" w:rsidRDefault="00EA363E"/>
        </w:tc>
      </w:tr>
      <w:tr w:rsidR="00EA363E" w14:paraId="0ED924D8" w14:textId="77777777" w:rsidTr="00BB4313">
        <w:tc>
          <w:tcPr>
            <w:tcW w:w="1255" w:type="dxa"/>
          </w:tcPr>
          <w:p w14:paraId="77A0CA69" w14:textId="14FEB343" w:rsidR="00EA363E" w:rsidRDefault="00EA363E">
            <w:r>
              <w:t>Th 12/9</w:t>
            </w:r>
          </w:p>
        </w:tc>
        <w:tc>
          <w:tcPr>
            <w:tcW w:w="8095" w:type="dxa"/>
          </w:tcPr>
          <w:p w14:paraId="20269009" w14:textId="4A5FDC41" w:rsidR="00EA363E" w:rsidRDefault="00262525">
            <w:r>
              <w:t>NFTs</w:t>
            </w:r>
            <w:r w:rsidR="00E05A5C">
              <w:t xml:space="preserve"> a</w:t>
            </w:r>
            <w:r w:rsidR="006D7E46">
              <w:t>s</w:t>
            </w:r>
            <w:r w:rsidR="00E05A5C">
              <w:t xml:space="preserve"> global(</w:t>
            </w:r>
            <w:proofErr w:type="spellStart"/>
            <w:r w:rsidR="00E05A5C">
              <w:t>ized</w:t>
            </w:r>
            <w:proofErr w:type="spellEnd"/>
            <w:r w:rsidR="00E05A5C">
              <w:t xml:space="preserve">) conceptualism </w:t>
            </w:r>
          </w:p>
          <w:p w14:paraId="65027047" w14:textId="2FA515A6" w:rsidR="002E21B9" w:rsidRDefault="002E21B9" w:rsidP="002E21B9"/>
          <w:p w14:paraId="6B3C5B11" w14:textId="07C4F5F5" w:rsidR="006D7E46" w:rsidRPr="006D7E46" w:rsidRDefault="006D7E46" w:rsidP="002E21B9">
            <w:pPr>
              <w:rPr>
                <w:sz w:val="22"/>
                <w:szCs w:val="22"/>
              </w:rPr>
            </w:pPr>
            <w:r w:rsidRPr="006D7E46">
              <w:rPr>
                <w:sz w:val="22"/>
                <w:szCs w:val="22"/>
              </w:rPr>
              <w:t xml:space="preserve">Tina Rivers Ryan, “Token Gesture,” </w:t>
            </w:r>
            <w:proofErr w:type="spellStart"/>
            <w:r w:rsidRPr="006D7E46">
              <w:rPr>
                <w:i/>
                <w:iCs/>
                <w:sz w:val="22"/>
                <w:szCs w:val="22"/>
              </w:rPr>
              <w:t>Artforum</w:t>
            </w:r>
            <w:proofErr w:type="spellEnd"/>
            <w:r w:rsidRPr="006D7E46">
              <w:rPr>
                <w:i/>
                <w:iCs/>
                <w:sz w:val="22"/>
                <w:szCs w:val="22"/>
              </w:rPr>
              <w:t xml:space="preserve"> </w:t>
            </w:r>
            <w:r w:rsidRPr="006D7E46">
              <w:rPr>
                <w:sz w:val="22"/>
                <w:szCs w:val="22"/>
              </w:rPr>
              <w:t xml:space="preserve">(May 2021), </w:t>
            </w:r>
            <w:hyperlink r:id="rId17" w:history="1">
              <w:r w:rsidRPr="006D7E46">
                <w:rPr>
                  <w:rStyle w:val="Hyperlink"/>
                  <w:sz w:val="22"/>
                  <w:szCs w:val="22"/>
                </w:rPr>
                <w:t>https://www.artforum.com/print/202105/token-gesture-85475</w:t>
              </w:r>
            </w:hyperlink>
            <w:r w:rsidRPr="006D7E46">
              <w:rPr>
                <w:sz w:val="22"/>
                <w:szCs w:val="22"/>
              </w:rPr>
              <w:t xml:space="preserve">. </w:t>
            </w:r>
          </w:p>
          <w:p w14:paraId="66017F9B" w14:textId="299A3A26" w:rsidR="002E21B9" w:rsidRPr="006D7E46" w:rsidRDefault="002E21B9">
            <w:pPr>
              <w:rPr>
                <w:sz w:val="22"/>
                <w:szCs w:val="22"/>
              </w:rPr>
            </w:pPr>
          </w:p>
          <w:p w14:paraId="30F1CE80" w14:textId="6DB9AC03" w:rsidR="002E21B9" w:rsidRPr="006D7E46" w:rsidRDefault="006D7E46">
            <w:pPr>
              <w:rPr>
                <w:i/>
                <w:iCs/>
                <w:sz w:val="22"/>
                <w:szCs w:val="22"/>
              </w:rPr>
            </w:pPr>
            <w:r w:rsidRPr="006D7E46">
              <w:rPr>
                <w:sz w:val="22"/>
                <w:szCs w:val="22"/>
              </w:rPr>
              <w:t xml:space="preserve">David </w:t>
            </w:r>
            <w:proofErr w:type="spellStart"/>
            <w:r w:rsidRPr="006D7E46">
              <w:rPr>
                <w:sz w:val="22"/>
                <w:szCs w:val="22"/>
              </w:rPr>
              <w:t>Golumbia</w:t>
            </w:r>
            <w:proofErr w:type="spellEnd"/>
            <w:r w:rsidRPr="006D7E46">
              <w:rPr>
                <w:sz w:val="22"/>
                <w:szCs w:val="22"/>
              </w:rPr>
              <w:t xml:space="preserve">, “Blockchain: The White Man’s Burden,” </w:t>
            </w:r>
            <w:r w:rsidRPr="006D7E46">
              <w:rPr>
                <w:i/>
                <w:iCs/>
                <w:sz w:val="22"/>
                <w:szCs w:val="22"/>
              </w:rPr>
              <w:t xml:space="preserve">Medium </w:t>
            </w:r>
            <w:r w:rsidRPr="006D7E46">
              <w:rPr>
                <w:sz w:val="22"/>
                <w:szCs w:val="22"/>
              </w:rPr>
              <w:t xml:space="preserve">blogpost (February 21, 2020), </w:t>
            </w:r>
            <w:hyperlink r:id="rId18" w:history="1">
              <w:r w:rsidRPr="006D7E46">
                <w:rPr>
                  <w:rStyle w:val="Hyperlink"/>
                  <w:sz w:val="22"/>
                  <w:szCs w:val="22"/>
                </w:rPr>
                <w:t>https://davidgolumbia.medium.com/blockchain-the-white-mans-burden-e3ef75c97830</w:t>
              </w:r>
            </w:hyperlink>
            <w:r w:rsidRPr="006D7E46">
              <w:rPr>
                <w:sz w:val="22"/>
                <w:szCs w:val="22"/>
              </w:rPr>
              <w:t xml:space="preserve">. </w:t>
            </w:r>
          </w:p>
          <w:p w14:paraId="774803A7" w14:textId="77777777" w:rsidR="00D73B87" w:rsidRDefault="00D73B87"/>
          <w:p w14:paraId="6E821128" w14:textId="4351E695" w:rsidR="00D73B87" w:rsidRPr="00BB7017" w:rsidRDefault="00D73B87">
            <w:pPr>
              <w:rPr>
                <w:b/>
                <w:bCs/>
              </w:rPr>
            </w:pPr>
            <w:r w:rsidRPr="00BB7017">
              <w:rPr>
                <w:b/>
                <w:bCs/>
              </w:rPr>
              <w:t xml:space="preserve">Short paper #2 and research essays due Friday 12/10 at 11:59 via Canvas. </w:t>
            </w:r>
          </w:p>
        </w:tc>
      </w:tr>
    </w:tbl>
    <w:p w14:paraId="5BE10A44" w14:textId="6353B083" w:rsidR="002B2B3F" w:rsidRDefault="002B2B3F"/>
    <w:p w14:paraId="532E9FBB" w14:textId="05582CFD" w:rsidR="002B2B3F" w:rsidRDefault="0079387C">
      <w:r>
        <w:t xml:space="preserve">There is no final exam for this class. </w:t>
      </w:r>
    </w:p>
    <w:p w14:paraId="64CB06BB" w14:textId="77777777" w:rsidR="002B2B3F" w:rsidRDefault="002B2B3F"/>
    <w:p w14:paraId="43D4E714" w14:textId="73E653C4" w:rsidR="00265A1B" w:rsidRPr="00E94466" w:rsidRDefault="00265A1B" w:rsidP="00E94466">
      <w:pPr>
        <w:pStyle w:val="Heading1"/>
        <w:rPr>
          <w:rFonts w:ascii="Times New Roman" w:hAnsi="Times New Roman"/>
        </w:rPr>
      </w:pPr>
      <w:r w:rsidRPr="00E94466">
        <w:rPr>
          <w:rFonts w:ascii="Times New Roman" w:hAnsi="Times New Roman"/>
        </w:rPr>
        <w:t>Pandemic circumstances</w:t>
      </w:r>
    </w:p>
    <w:p w14:paraId="6808A556" w14:textId="023806CA" w:rsidR="00265A1B" w:rsidRDefault="00E94466">
      <w:r>
        <w:t xml:space="preserve">As I think you’re all acutely aware, this quarter is happening under unusual and difficult circumstances, and we may experience further disruption depending on the circumstances on campus and in the broader pandemic. </w:t>
      </w:r>
      <w:r w:rsidR="00C30E23">
        <w:t>Out of respect for everyone in the class, it’s</w:t>
      </w:r>
      <w:r>
        <w:t xml:space="preserve"> important to me that we stick to the state mask guidance, and I’m grateful to you for helping to protect others’ health through good mask practice (</w:t>
      </w:r>
      <w:proofErr w:type="gramStart"/>
      <w:r>
        <w:t>i.e.</w:t>
      </w:r>
      <w:proofErr w:type="gramEnd"/>
      <w:r>
        <w:t xml:space="preserve"> no masks off to eat in class, mask properly fitted over your nose, etc.). If something happens that means we can’t meet in person for a portion of the quarter, we will likely switch to a synchronous Zoom format and keep the syllabus largely the same in terms of the schedule of readings and topics. </w:t>
      </w:r>
      <w:r w:rsidR="00B068BF">
        <w:t>I have chosen to conduct office hours on Zoom to maintain my office space, where I spend time working</w:t>
      </w:r>
      <w:r w:rsidR="00B225D4">
        <w:t xml:space="preserve"> and eating</w:t>
      </w:r>
      <w:r w:rsidR="00B068BF">
        <w:t xml:space="preserve"> throughout the day, as free as possible of aerosols</w:t>
      </w:r>
      <w:r w:rsidR="00EA3312">
        <w:t>.</w:t>
      </w:r>
      <w:r w:rsidR="00B068BF">
        <w:t xml:space="preserve"> Zoom also provides great flexibility in terms of location to help you access office hours around your busy schedules. </w:t>
      </w:r>
    </w:p>
    <w:p w14:paraId="02429CF0" w14:textId="508B583C" w:rsidR="00265A1B" w:rsidRDefault="00265A1B"/>
    <w:p w14:paraId="78D3E10E" w14:textId="77777777" w:rsidR="00265A1B" w:rsidRPr="005D2035" w:rsidRDefault="00265A1B" w:rsidP="00265A1B">
      <w:pPr>
        <w:pStyle w:val="Heading1"/>
        <w:rPr>
          <w:rFonts w:ascii="Times New Roman" w:hAnsi="Times New Roman"/>
        </w:rPr>
      </w:pPr>
      <w:r>
        <w:rPr>
          <w:rFonts w:ascii="Times New Roman" w:hAnsi="Times New Roman"/>
        </w:rPr>
        <w:t>Communication</w:t>
      </w:r>
      <w:r w:rsidRPr="005D2035">
        <w:rPr>
          <w:rFonts w:ascii="Times New Roman" w:hAnsi="Times New Roman"/>
        </w:rPr>
        <w:t xml:space="preserve"> Policy</w:t>
      </w:r>
    </w:p>
    <w:p w14:paraId="736DC979" w14:textId="46D8F478" w:rsidR="00265A1B" w:rsidRPr="005D2035" w:rsidRDefault="00265A1B" w:rsidP="00265A1B">
      <w:r>
        <w:t xml:space="preserve">Especially as this quarter may hold unexpected twists and turns, you MUST check your UW email and Canvas notifications multiple times a week and respond promptly to emails from me and from your peers. I aim to reply to you within 24 hours during the week for urgent issues, however I am typically unable to respond to email between 4:30pm on Friday and 7pm on Sunday due to the demands of caring for two kids of ages 5 and 1. If it’s been a couple of days since you emailed me and I haven’t answered, please go ahead and send a reminder email. I will not be at all insulted, as I probably have just lost track of your message. </w:t>
      </w:r>
    </w:p>
    <w:p w14:paraId="55D71CAB" w14:textId="77777777" w:rsidR="00265A1B" w:rsidRDefault="00265A1B" w:rsidP="00265A1B"/>
    <w:p w14:paraId="3873B3BF" w14:textId="77777777" w:rsidR="00265A1B" w:rsidRPr="00C36146" w:rsidRDefault="00265A1B" w:rsidP="00265A1B">
      <w:pPr>
        <w:pStyle w:val="Heading1"/>
        <w:rPr>
          <w:rFonts w:ascii="Times New Roman" w:hAnsi="Times New Roman"/>
          <w:szCs w:val="22"/>
        </w:rPr>
      </w:pPr>
      <w:r w:rsidRPr="00C36146">
        <w:rPr>
          <w:rFonts w:ascii="Times New Roman" w:hAnsi="Times New Roman"/>
          <w:szCs w:val="22"/>
        </w:rPr>
        <w:t>Participation policy</w:t>
      </w:r>
    </w:p>
    <w:p w14:paraId="49C3883E" w14:textId="173A02FD" w:rsidR="00265A1B" w:rsidRPr="00C36146" w:rsidRDefault="00265A1B" w:rsidP="00265A1B">
      <w:r w:rsidRPr="00C36146">
        <w:t xml:space="preserve">Excellent participation consists in doing the readings, being present for class sessions and contributing thoughtfully to discussion every session. Class sessions missed without </w:t>
      </w:r>
      <w:r>
        <w:t xml:space="preserve">prior discussion </w:t>
      </w:r>
      <w:r w:rsidRPr="00C36146">
        <w:t>will result in a steep decrease in the participation grade.</w:t>
      </w:r>
      <w:r w:rsidR="00BD636E">
        <w:t xml:space="preserve"> The Hypothes.is annotations are voluntary and provide you with another opportunity to strengthen your participation, in a way that doesn’t involve talking in class. </w:t>
      </w:r>
    </w:p>
    <w:p w14:paraId="6D4E94E7" w14:textId="77777777" w:rsidR="00265A1B" w:rsidRDefault="00265A1B" w:rsidP="00265A1B"/>
    <w:p w14:paraId="7AB34EB6" w14:textId="77777777" w:rsidR="00265A1B" w:rsidRPr="0020426C" w:rsidRDefault="00265A1B" w:rsidP="00265A1B">
      <w:pPr>
        <w:pStyle w:val="Heading1"/>
        <w:rPr>
          <w:rFonts w:ascii="Times New Roman" w:hAnsi="Times New Roman"/>
        </w:rPr>
      </w:pPr>
      <w:r w:rsidRPr="0020426C">
        <w:rPr>
          <w:rFonts w:ascii="Times New Roman" w:hAnsi="Times New Roman"/>
        </w:rPr>
        <w:t>Grading policy</w:t>
      </w:r>
    </w:p>
    <w:p w14:paraId="4BDF926E" w14:textId="77777777" w:rsidR="00265A1B" w:rsidRPr="0020426C" w:rsidRDefault="00265A1B" w:rsidP="00265A1B">
      <w:r w:rsidRPr="0020426C">
        <w:rPr>
          <w:u w:val="single"/>
        </w:rPr>
        <w:t>Lateness:</w:t>
      </w:r>
      <w:r w:rsidRPr="0020426C">
        <w:t xml:space="preserve"> </w:t>
      </w:r>
      <w:r>
        <w:t>I</w:t>
      </w:r>
      <w:r w:rsidRPr="0020426C">
        <w:t xml:space="preserve"> </w:t>
      </w:r>
      <w:r>
        <w:t>reserve the right to</w:t>
      </w:r>
      <w:r w:rsidRPr="0020426C">
        <w:t xml:space="preserve"> deduct 5% for every day, including weekends, that a written</w:t>
      </w:r>
      <w:r>
        <w:t xml:space="preserve"> </w:t>
      </w:r>
      <w:r w:rsidRPr="0020426C">
        <w:t xml:space="preserve">assignment is late. </w:t>
      </w:r>
      <w:r>
        <w:t xml:space="preserve">If you are experiencing circumstances that will prevent you from submitting work on time, please talk to me as soon as possible, without waiting until the deadline has passed. </w:t>
      </w:r>
    </w:p>
    <w:p w14:paraId="5B01589B" w14:textId="77777777" w:rsidR="00265A1B" w:rsidRPr="0020426C" w:rsidRDefault="00265A1B" w:rsidP="00265A1B">
      <w:r w:rsidRPr="0020426C">
        <w:rPr>
          <w:u w:val="single"/>
        </w:rPr>
        <w:t>Plagiarism:</w:t>
      </w:r>
      <w:r w:rsidRPr="0020426C">
        <w:t xml:space="preserve"> Plagiarism and cheating carry a heavy grade penalty decided at my discretion, which can range from receiving a 0 on the assignment in question to failing the course. If you are tempted to cheat, I recommend that you consider a visit to the University’s Counseling Center to get support concerning stress and emotional coping.</w:t>
      </w:r>
    </w:p>
    <w:p w14:paraId="5DB1198F" w14:textId="77777777" w:rsidR="00265A1B" w:rsidRPr="0020426C" w:rsidRDefault="00265A1B" w:rsidP="00265A1B"/>
    <w:p w14:paraId="6E2E6853" w14:textId="77777777" w:rsidR="00265A1B" w:rsidRPr="0020426C" w:rsidRDefault="00265A1B" w:rsidP="00265A1B">
      <w:pPr>
        <w:pStyle w:val="Heading1"/>
        <w:rPr>
          <w:rFonts w:ascii="Times New Roman" w:hAnsi="Times New Roman"/>
        </w:rPr>
      </w:pPr>
      <w:r w:rsidRPr="0020426C">
        <w:rPr>
          <w:rFonts w:ascii="Times New Roman" w:hAnsi="Times New Roman"/>
        </w:rPr>
        <w:t>Accommodation</w:t>
      </w:r>
    </w:p>
    <w:p w14:paraId="05652F24" w14:textId="77777777" w:rsidR="00265A1B" w:rsidRPr="0020426C" w:rsidRDefault="00265A1B" w:rsidP="00265A1B">
      <w:r w:rsidRPr="0020426C">
        <w:t>I look forward to working with students who may need learning accommodations (for the</w:t>
      </w:r>
    </w:p>
    <w:p w14:paraId="15CE3CA4" w14:textId="78E135BC" w:rsidR="00265A1B" w:rsidRPr="0020426C" w:rsidRDefault="00265A1B" w:rsidP="00265A1B">
      <w:r w:rsidRPr="0020426C">
        <w:lastRenderedPageBreak/>
        <w:t xml:space="preserve">official School of Art policy, see </w:t>
      </w:r>
      <w:r>
        <w:t>supplementary document</w:t>
      </w:r>
      <w:r w:rsidRPr="0020426C">
        <w:t xml:space="preserve">). If you are registered with </w:t>
      </w:r>
      <w:r>
        <w:t>Disability Resources for Students</w:t>
      </w:r>
      <w:r w:rsidRPr="0020426C">
        <w:t>, please make sure I</w:t>
      </w:r>
      <w:r>
        <w:t xml:space="preserve"> </w:t>
      </w:r>
      <w:r w:rsidRPr="0020426C">
        <w:t xml:space="preserve">receive </w:t>
      </w:r>
      <w:r>
        <w:t>your documentation</w:t>
      </w:r>
      <w:r w:rsidRPr="0020426C">
        <w:t xml:space="preserve"> within one week of the start of class.</w:t>
      </w:r>
    </w:p>
    <w:p w14:paraId="23F91AC6" w14:textId="77777777" w:rsidR="00265A1B" w:rsidRPr="0020426C" w:rsidRDefault="00265A1B" w:rsidP="00265A1B"/>
    <w:p w14:paraId="2684E470" w14:textId="77777777" w:rsidR="00265A1B" w:rsidRPr="0020426C" w:rsidRDefault="00265A1B" w:rsidP="00265A1B">
      <w:pPr>
        <w:pStyle w:val="Heading1"/>
        <w:rPr>
          <w:rFonts w:ascii="Times New Roman" w:hAnsi="Times New Roman"/>
        </w:rPr>
      </w:pPr>
      <w:r w:rsidRPr="0020426C">
        <w:rPr>
          <w:rFonts w:ascii="Times New Roman" w:hAnsi="Times New Roman"/>
        </w:rPr>
        <w:t>Anti-discrimination</w:t>
      </w:r>
    </w:p>
    <w:p w14:paraId="533C739A" w14:textId="77777777" w:rsidR="00265A1B" w:rsidRPr="0020426C" w:rsidRDefault="00265A1B" w:rsidP="00265A1B">
      <w:r w:rsidRPr="0020426C">
        <w:t xml:space="preserve">As your instructor I am committed to making our classroom a space without discrimination, where each one of you feels comfortable expressing yourself, and equally, is willing to listen to your peers express themselves. If discrimination does arise, I invite you to discuss it with me and we can make a plan for how to rectify it. Being committed to anti-discrimination doesn’t mean that you need to be nervous about saying the “wrong” thing. Rather, it’s a commitment to process, in which all of us agree to remain generous and self-reflexive, and to help each other out in the collective work of establishing a positive group dynamic. </w:t>
      </w:r>
      <w:r>
        <w:t xml:space="preserve">As an able-bodied, </w:t>
      </w:r>
      <w:proofErr w:type="spellStart"/>
      <w:r>
        <w:t>cys</w:t>
      </w:r>
      <w:proofErr w:type="spellEnd"/>
      <w:r>
        <w:t xml:space="preserve">-gendered white woman, I am committed to the ongoing act of taking responsibility for my position of power within the digital </w:t>
      </w:r>
      <w:proofErr w:type="gramStart"/>
      <w:r>
        <w:t>classroom, and</w:t>
      </w:r>
      <w:proofErr w:type="gramEnd"/>
      <w:r>
        <w:t xml:space="preserve"> working to make it a welcoming space for others who don’t share my experiences or opinions. The </w:t>
      </w:r>
      <w:r w:rsidRPr="0020426C">
        <w:t>School of Art’s official Equal Opportunity policy</w:t>
      </w:r>
      <w:r>
        <w:t xml:space="preserve"> is available on the </w:t>
      </w:r>
      <w:proofErr w:type="gramStart"/>
      <w:r>
        <w:t>School</w:t>
      </w:r>
      <w:proofErr w:type="gramEnd"/>
      <w:r>
        <w:t xml:space="preserve"> website</w:t>
      </w:r>
      <w:r w:rsidRPr="0020426C">
        <w:t>.</w:t>
      </w:r>
    </w:p>
    <w:p w14:paraId="512BCFC2" w14:textId="77777777" w:rsidR="00265A1B" w:rsidRDefault="00265A1B" w:rsidP="00265A1B"/>
    <w:p w14:paraId="0CC4E6B8" w14:textId="3EDA21E3" w:rsidR="00265A1B" w:rsidRDefault="00A15600">
      <w:r>
        <w:t xml:space="preserve">See appended document for office School of Art policies. </w:t>
      </w:r>
    </w:p>
    <w:sectPr w:rsidR="00265A1B" w:rsidSect="000D7501">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4EDE" w14:textId="77777777" w:rsidR="00D60C80" w:rsidRDefault="00D60C80" w:rsidP="00BB4313">
      <w:r>
        <w:separator/>
      </w:r>
    </w:p>
  </w:endnote>
  <w:endnote w:type="continuationSeparator" w:id="0">
    <w:p w14:paraId="7FCBA078" w14:textId="77777777" w:rsidR="00D60C80" w:rsidRDefault="00D60C80" w:rsidP="00BB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1463738"/>
      <w:docPartObj>
        <w:docPartGallery w:val="Page Numbers (Bottom of Page)"/>
        <w:docPartUnique/>
      </w:docPartObj>
    </w:sdtPr>
    <w:sdtEndPr>
      <w:rPr>
        <w:rStyle w:val="PageNumber"/>
      </w:rPr>
    </w:sdtEndPr>
    <w:sdtContent>
      <w:p w14:paraId="69143D73" w14:textId="629E33BD" w:rsidR="00BB4313" w:rsidRDefault="00BB4313" w:rsidP="00AD61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FBB325" w14:textId="77777777" w:rsidR="00BB4313" w:rsidRDefault="00BB4313" w:rsidP="00BB43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2676954"/>
      <w:docPartObj>
        <w:docPartGallery w:val="Page Numbers (Bottom of Page)"/>
        <w:docPartUnique/>
      </w:docPartObj>
    </w:sdtPr>
    <w:sdtEndPr>
      <w:rPr>
        <w:rStyle w:val="PageNumber"/>
      </w:rPr>
    </w:sdtEndPr>
    <w:sdtContent>
      <w:p w14:paraId="30C21A60" w14:textId="20341C35" w:rsidR="00BB4313" w:rsidRDefault="00BB4313" w:rsidP="00AD61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FABE" w14:textId="77777777" w:rsidR="00BB4313" w:rsidRDefault="00BB4313" w:rsidP="00BB43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0579" w14:textId="77777777" w:rsidR="00D60C80" w:rsidRDefault="00D60C80" w:rsidP="00BB4313">
      <w:r>
        <w:separator/>
      </w:r>
    </w:p>
  </w:footnote>
  <w:footnote w:type="continuationSeparator" w:id="0">
    <w:p w14:paraId="00AB3205" w14:textId="77777777" w:rsidR="00D60C80" w:rsidRDefault="00D60C80" w:rsidP="00BB4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A562F"/>
    <w:multiLevelType w:val="hybridMultilevel"/>
    <w:tmpl w:val="FCA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B8"/>
    <w:rsid w:val="00000ACA"/>
    <w:rsid w:val="000667D2"/>
    <w:rsid w:val="00070988"/>
    <w:rsid w:val="000805F5"/>
    <w:rsid w:val="000B20D6"/>
    <w:rsid w:val="000C2D47"/>
    <w:rsid w:val="000D7501"/>
    <w:rsid w:val="001462DC"/>
    <w:rsid w:val="00153286"/>
    <w:rsid w:val="0015423B"/>
    <w:rsid w:val="00175144"/>
    <w:rsid w:val="00193F23"/>
    <w:rsid w:val="00196C97"/>
    <w:rsid w:val="001A3F9C"/>
    <w:rsid w:val="001A6A65"/>
    <w:rsid w:val="00222BCB"/>
    <w:rsid w:val="00250031"/>
    <w:rsid w:val="00262525"/>
    <w:rsid w:val="00265A1B"/>
    <w:rsid w:val="002924A2"/>
    <w:rsid w:val="002B1B5E"/>
    <w:rsid w:val="002B2B3F"/>
    <w:rsid w:val="002C2672"/>
    <w:rsid w:val="002C370F"/>
    <w:rsid w:val="002E21B9"/>
    <w:rsid w:val="002E36BB"/>
    <w:rsid w:val="002E6E92"/>
    <w:rsid w:val="002F1805"/>
    <w:rsid w:val="002F3BDE"/>
    <w:rsid w:val="00304398"/>
    <w:rsid w:val="00315FD5"/>
    <w:rsid w:val="00382EEF"/>
    <w:rsid w:val="003C4E5F"/>
    <w:rsid w:val="003E5363"/>
    <w:rsid w:val="00412D4F"/>
    <w:rsid w:val="004707E3"/>
    <w:rsid w:val="00472403"/>
    <w:rsid w:val="0048482D"/>
    <w:rsid w:val="004A7937"/>
    <w:rsid w:val="004A7AA1"/>
    <w:rsid w:val="004C621E"/>
    <w:rsid w:val="004C730C"/>
    <w:rsid w:val="004D70A2"/>
    <w:rsid w:val="004E77E8"/>
    <w:rsid w:val="004F0089"/>
    <w:rsid w:val="004F0135"/>
    <w:rsid w:val="004F2BB8"/>
    <w:rsid w:val="00506CC1"/>
    <w:rsid w:val="00516639"/>
    <w:rsid w:val="0053033B"/>
    <w:rsid w:val="00535E8D"/>
    <w:rsid w:val="00543D4C"/>
    <w:rsid w:val="0055207D"/>
    <w:rsid w:val="005B0B90"/>
    <w:rsid w:val="005E0F6A"/>
    <w:rsid w:val="006473CC"/>
    <w:rsid w:val="0065248C"/>
    <w:rsid w:val="00664AAE"/>
    <w:rsid w:val="006824A3"/>
    <w:rsid w:val="00690338"/>
    <w:rsid w:val="006A7DEA"/>
    <w:rsid w:val="006B6FC7"/>
    <w:rsid w:val="006D7E46"/>
    <w:rsid w:val="006F3B8E"/>
    <w:rsid w:val="00731507"/>
    <w:rsid w:val="007425ED"/>
    <w:rsid w:val="0075449E"/>
    <w:rsid w:val="0079387C"/>
    <w:rsid w:val="007E1320"/>
    <w:rsid w:val="007E61C3"/>
    <w:rsid w:val="007E757D"/>
    <w:rsid w:val="00800A4B"/>
    <w:rsid w:val="008038BE"/>
    <w:rsid w:val="00810EE6"/>
    <w:rsid w:val="00817144"/>
    <w:rsid w:val="00831163"/>
    <w:rsid w:val="008312C9"/>
    <w:rsid w:val="00843982"/>
    <w:rsid w:val="0085115B"/>
    <w:rsid w:val="008666A6"/>
    <w:rsid w:val="00874A55"/>
    <w:rsid w:val="00882F5A"/>
    <w:rsid w:val="00883152"/>
    <w:rsid w:val="00906E41"/>
    <w:rsid w:val="00914F54"/>
    <w:rsid w:val="00920006"/>
    <w:rsid w:val="0099079D"/>
    <w:rsid w:val="00990FF9"/>
    <w:rsid w:val="009B41DF"/>
    <w:rsid w:val="009F4332"/>
    <w:rsid w:val="00A07557"/>
    <w:rsid w:val="00A133AC"/>
    <w:rsid w:val="00A15280"/>
    <w:rsid w:val="00A15600"/>
    <w:rsid w:val="00A3550B"/>
    <w:rsid w:val="00A36F30"/>
    <w:rsid w:val="00A43205"/>
    <w:rsid w:val="00A5401E"/>
    <w:rsid w:val="00A6332A"/>
    <w:rsid w:val="00A84330"/>
    <w:rsid w:val="00A91823"/>
    <w:rsid w:val="00A938D6"/>
    <w:rsid w:val="00AC48D7"/>
    <w:rsid w:val="00AF1D18"/>
    <w:rsid w:val="00B05CCF"/>
    <w:rsid w:val="00B068BF"/>
    <w:rsid w:val="00B225D4"/>
    <w:rsid w:val="00B7218E"/>
    <w:rsid w:val="00B95F26"/>
    <w:rsid w:val="00BA7EF0"/>
    <w:rsid w:val="00BB4313"/>
    <w:rsid w:val="00BB7017"/>
    <w:rsid w:val="00BC0FBE"/>
    <w:rsid w:val="00BD26E5"/>
    <w:rsid w:val="00BD636E"/>
    <w:rsid w:val="00C30E23"/>
    <w:rsid w:val="00C34D92"/>
    <w:rsid w:val="00C62D26"/>
    <w:rsid w:val="00C6542F"/>
    <w:rsid w:val="00C76363"/>
    <w:rsid w:val="00C9254E"/>
    <w:rsid w:val="00CA206A"/>
    <w:rsid w:val="00CA78F5"/>
    <w:rsid w:val="00CB2FA1"/>
    <w:rsid w:val="00CB3022"/>
    <w:rsid w:val="00CB6EAB"/>
    <w:rsid w:val="00CF587F"/>
    <w:rsid w:val="00D31B0E"/>
    <w:rsid w:val="00D355D2"/>
    <w:rsid w:val="00D5130A"/>
    <w:rsid w:val="00D53FCC"/>
    <w:rsid w:val="00D5431F"/>
    <w:rsid w:val="00D60C80"/>
    <w:rsid w:val="00D635DC"/>
    <w:rsid w:val="00D721CC"/>
    <w:rsid w:val="00D73B87"/>
    <w:rsid w:val="00D90D8F"/>
    <w:rsid w:val="00DB0719"/>
    <w:rsid w:val="00DF0C74"/>
    <w:rsid w:val="00DF7B53"/>
    <w:rsid w:val="00E01B5A"/>
    <w:rsid w:val="00E02EC4"/>
    <w:rsid w:val="00E04FD0"/>
    <w:rsid w:val="00E05A5C"/>
    <w:rsid w:val="00E213C4"/>
    <w:rsid w:val="00E508C6"/>
    <w:rsid w:val="00E57402"/>
    <w:rsid w:val="00E60364"/>
    <w:rsid w:val="00E94466"/>
    <w:rsid w:val="00EA3312"/>
    <w:rsid w:val="00EA363E"/>
    <w:rsid w:val="00EA7F49"/>
    <w:rsid w:val="00F20994"/>
    <w:rsid w:val="00F5114E"/>
    <w:rsid w:val="00F54CD6"/>
    <w:rsid w:val="00F60392"/>
    <w:rsid w:val="00F63A63"/>
    <w:rsid w:val="00F728E3"/>
    <w:rsid w:val="00FC5AAF"/>
    <w:rsid w:val="00FC7DC8"/>
    <w:rsid w:val="00FD0410"/>
    <w:rsid w:val="00FD1423"/>
    <w:rsid w:val="00FE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F0D70"/>
  <w15:chartTrackingRefBased/>
  <w15:docId w15:val="{F86D780A-F2D9-584B-9CF4-6B8E1AA0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265A1B"/>
    <w:pPr>
      <w:keepNext/>
      <w:jc w:val="both"/>
      <w:outlineLvl w:val="0"/>
    </w:pPr>
    <w:rPr>
      <w:rFonts w:ascii="Arial Narrow" w:eastAsia="Times New Roman" w:hAnsi="Arial Narrow"/>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BB8"/>
    <w:rPr>
      <w:color w:val="0563C1" w:themeColor="hyperlink"/>
      <w:u w:val="single"/>
    </w:rPr>
  </w:style>
  <w:style w:type="character" w:styleId="UnresolvedMention">
    <w:name w:val="Unresolved Mention"/>
    <w:basedOn w:val="DefaultParagraphFont"/>
    <w:uiPriority w:val="99"/>
    <w:rsid w:val="004F2BB8"/>
    <w:rPr>
      <w:color w:val="605E5C"/>
      <w:shd w:val="clear" w:color="auto" w:fill="E1DFDD"/>
    </w:rPr>
  </w:style>
  <w:style w:type="table" w:styleId="TableGrid">
    <w:name w:val="Table Grid"/>
    <w:basedOn w:val="TableNormal"/>
    <w:uiPriority w:val="39"/>
    <w:rsid w:val="0030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65A1B"/>
    <w:rPr>
      <w:rFonts w:ascii="Arial Narrow" w:eastAsia="Times New Roman" w:hAnsi="Arial Narrow"/>
      <w:b/>
      <w:sz w:val="22"/>
      <w:szCs w:val="20"/>
      <w:u w:val="single"/>
    </w:rPr>
  </w:style>
  <w:style w:type="paragraph" w:styleId="Title">
    <w:name w:val="Title"/>
    <w:basedOn w:val="Normal"/>
    <w:next w:val="Normal"/>
    <w:link w:val="TitleChar"/>
    <w:uiPriority w:val="10"/>
    <w:qFormat/>
    <w:rsid w:val="00A075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55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BB4313"/>
    <w:pPr>
      <w:tabs>
        <w:tab w:val="center" w:pos="4680"/>
        <w:tab w:val="right" w:pos="9360"/>
      </w:tabs>
    </w:pPr>
  </w:style>
  <w:style w:type="character" w:customStyle="1" w:styleId="FooterChar">
    <w:name w:val="Footer Char"/>
    <w:basedOn w:val="DefaultParagraphFont"/>
    <w:link w:val="Footer"/>
    <w:uiPriority w:val="99"/>
    <w:rsid w:val="00BB4313"/>
  </w:style>
  <w:style w:type="character" w:styleId="PageNumber">
    <w:name w:val="page number"/>
    <w:basedOn w:val="DefaultParagraphFont"/>
    <w:uiPriority w:val="99"/>
    <w:semiHidden/>
    <w:unhideWhenUsed/>
    <w:rsid w:val="00BB4313"/>
  </w:style>
  <w:style w:type="paragraph" w:styleId="ListParagraph">
    <w:name w:val="List Paragraph"/>
    <w:basedOn w:val="Normal"/>
    <w:uiPriority w:val="34"/>
    <w:qFormat/>
    <w:rsid w:val="00DF7B53"/>
    <w:pPr>
      <w:ind w:left="720"/>
      <w:contextualSpacing/>
    </w:pPr>
  </w:style>
  <w:style w:type="character" w:styleId="FollowedHyperlink">
    <w:name w:val="FollowedHyperlink"/>
    <w:basedOn w:val="DefaultParagraphFont"/>
    <w:uiPriority w:val="99"/>
    <w:semiHidden/>
    <w:unhideWhenUsed/>
    <w:rsid w:val="00D53F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69531">
      <w:bodyDiv w:val="1"/>
      <w:marLeft w:val="0"/>
      <w:marRight w:val="0"/>
      <w:marTop w:val="0"/>
      <w:marBottom w:val="0"/>
      <w:divBdr>
        <w:top w:val="none" w:sz="0" w:space="0" w:color="auto"/>
        <w:left w:val="none" w:sz="0" w:space="0" w:color="auto"/>
        <w:bottom w:val="none" w:sz="0" w:space="0" w:color="auto"/>
        <w:right w:val="none" w:sz="0" w:space="0" w:color="auto"/>
      </w:divBdr>
    </w:div>
    <w:div w:id="637106660">
      <w:bodyDiv w:val="1"/>
      <w:marLeft w:val="0"/>
      <w:marRight w:val="0"/>
      <w:marTop w:val="0"/>
      <w:marBottom w:val="0"/>
      <w:divBdr>
        <w:top w:val="none" w:sz="0" w:space="0" w:color="auto"/>
        <w:left w:val="none" w:sz="0" w:space="0" w:color="auto"/>
        <w:bottom w:val="none" w:sz="0" w:space="0" w:color="auto"/>
        <w:right w:val="none" w:sz="0" w:space="0" w:color="auto"/>
      </w:divBdr>
    </w:div>
    <w:div w:id="786893978">
      <w:bodyDiv w:val="1"/>
      <w:marLeft w:val="0"/>
      <w:marRight w:val="0"/>
      <w:marTop w:val="0"/>
      <w:marBottom w:val="0"/>
      <w:divBdr>
        <w:top w:val="none" w:sz="0" w:space="0" w:color="auto"/>
        <w:left w:val="none" w:sz="0" w:space="0" w:color="auto"/>
        <w:bottom w:val="none" w:sz="0" w:space="0" w:color="auto"/>
        <w:right w:val="none" w:sz="0" w:space="0" w:color="auto"/>
      </w:divBdr>
      <w:divsChild>
        <w:div w:id="2079667041">
          <w:marLeft w:val="0"/>
          <w:marRight w:val="0"/>
          <w:marTop w:val="0"/>
          <w:marBottom w:val="0"/>
          <w:divBdr>
            <w:top w:val="none" w:sz="0" w:space="0" w:color="auto"/>
            <w:left w:val="none" w:sz="0" w:space="0" w:color="auto"/>
            <w:bottom w:val="none" w:sz="0" w:space="0" w:color="auto"/>
            <w:right w:val="none" w:sz="0" w:space="0" w:color="auto"/>
          </w:divBdr>
        </w:div>
        <w:div w:id="430518243">
          <w:marLeft w:val="0"/>
          <w:marRight w:val="0"/>
          <w:marTop w:val="0"/>
          <w:marBottom w:val="0"/>
          <w:divBdr>
            <w:top w:val="none" w:sz="0" w:space="0" w:color="auto"/>
            <w:left w:val="none" w:sz="0" w:space="0" w:color="auto"/>
            <w:bottom w:val="none" w:sz="0" w:space="0" w:color="auto"/>
            <w:right w:val="none" w:sz="0" w:space="0" w:color="auto"/>
          </w:divBdr>
        </w:div>
        <w:div w:id="1027801701">
          <w:marLeft w:val="0"/>
          <w:marRight w:val="0"/>
          <w:marTop w:val="0"/>
          <w:marBottom w:val="0"/>
          <w:divBdr>
            <w:top w:val="none" w:sz="0" w:space="0" w:color="auto"/>
            <w:left w:val="none" w:sz="0" w:space="0" w:color="auto"/>
            <w:bottom w:val="none" w:sz="0" w:space="0" w:color="auto"/>
            <w:right w:val="none" w:sz="0" w:space="0" w:color="auto"/>
          </w:divBdr>
        </w:div>
        <w:div w:id="1404058685">
          <w:marLeft w:val="0"/>
          <w:marRight w:val="0"/>
          <w:marTop w:val="0"/>
          <w:marBottom w:val="0"/>
          <w:divBdr>
            <w:top w:val="none" w:sz="0" w:space="0" w:color="auto"/>
            <w:left w:val="none" w:sz="0" w:space="0" w:color="auto"/>
            <w:bottom w:val="none" w:sz="0" w:space="0" w:color="auto"/>
            <w:right w:val="none" w:sz="0" w:space="0" w:color="auto"/>
          </w:divBdr>
        </w:div>
        <w:div w:id="264457720">
          <w:marLeft w:val="0"/>
          <w:marRight w:val="0"/>
          <w:marTop w:val="0"/>
          <w:marBottom w:val="0"/>
          <w:divBdr>
            <w:top w:val="none" w:sz="0" w:space="0" w:color="auto"/>
            <w:left w:val="none" w:sz="0" w:space="0" w:color="auto"/>
            <w:bottom w:val="none" w:sz="0" w:space="0" w:color="auto"/>
            <w:right w:val="none" w:sz="0" w:space="0" w:color="auto"/>
          </w:divBdr>
        </w:div>
        <w:div w:id="807628729">
          <w:marLeft w:val="0"/>
          <w:marRight w:val="0"/>
          <w:marTop w:val="0"/>
          <w:marBottom w:val="0"/>
          <w:divBdr>
            <w:top w:val="none" w:sz="0" w:space="0" w:color="auto"/>
            <w:left w:val="none" w:sz="0" w:space="0" w:color="auto"/>
            <w:bottom w:val="none" w:sz="0" w:space="0" w:color="auto"/>
            <w:right w:val="none" w:sz="0" w:space="0" w:color="auto"/>
          </w:divBdr>
        </w:div>
      </w:divsChild>
    </w:div>
    <w:div w:id="919022802">
      <w:bodyDiv w:val="1"/>
      <w:marLeft w:val="0"/>
      <w:marRight w:val="0"/>
      <w:marTop w:val="0"/>
      <w:marBottom w:val="0"/>
      <w:divBdr>
        <w:top w:val="none" w:sz="0" w:space="0" w:color="auto"/>
        <w:left w:val="none" w:sz="0" w:space="0" w:color="auto"/>
        <w:bottom w:val="none" w:sz="0" w:space="0" w:color="auto"/>
        <w:right w:val="none" w:sz="0" w:space="0" w:color="auto"/>
      </w:divBdr>
    </w:div>
    <w:div w:id="1113325912">
      <w:bodyDiv w:val="1"/>
      <w:marLeft w:val="0"/>
      <w:marRight w:val="0"/>
      <w:marTop w:val="0"/>
      <w:marBottom w:val="0"/>
      <w:divBdr>
        <w:top w:val="none" w:sz="0" w:space="0" w:color="auto"/>
        <w:left w:val="none" w:sz="0" w:space="0" w:color="auto"/>
        <w:bottom w:val="none" w:sz="0" w:space="0" w:color="auto"/>
        <w:right w:val="none" w:sz="0" w:space="0" w:color="auto"/>
      </w:divBdr>
    </w:div>
    <w:div w:id="1244877057">
      <w:bodyDiv w:val="1"/>
      <w:marLeft w:val="0"/>
      <w:marRight w:val="0"/>
      <w:marTop w:val="0"/>
      <w:marBottom w:val="0"/>
      <w:divBdr>
        <w:top w:val="none" w:sz="0" w:space="0" w:color="auto"/>
        <w:left w:val="none" w:sz="0" w:space="0" w:color="auto"/>
        <w:bottom w:val="none" w:sz="0" w:space="0" w:color="auto"/>
        <w:right w:val="none" w:sz="0" w:space="0" w:color="auto"/>
      </w:divBdr>
    </w:div>
    <w:div w:id="1477333967">
      <w:bodyDiv w:val="1"/>
      <w:marLeft w:val="0"/>
      <w:marRight w:val="0"/>
      <w:marTop w:val="0"/>
      <w:marBottom w:val="0"/>
      <w:divBdr>
        <w:top w:val="none" w:sz="0" w:space="0" w:color="auto"/>
        <w:left w:val="none" w:sz="0" w:space="0" w:color="auto"/>
        <w:bottom w:val="none" w:sz="0" w:space="0" w:color="auto"/>
        <w:right w:val="none" w:sz="0" w:space="0" w:color="auto"/>
      </w:divBdr>
    </w:div>
    <w:div w:id="1485051869">
      <w:bodyDiv w:val="1"/>
      <w:marLeft w:val="0"/>
      <w:marRight w:val="0"/>
      <w:marTop w:val="0"/>
      <w:marBottom w:val="0"/>
      <w:divBdr>
        <w:top w:val="none" w:sz="0" w:space="0" w:color="auto"/>
        <w:left w:val="none" w:sz="0" w:space="0" w:color="auto"/>
        <w:bottom w:val="none" w:sz="0" w:space="0" w:color="auto"/>
        <w:right w:val="none" w:sz="0" w:space="0" w:color="auto"/>
      </w:divBdr>
    </w:div>
    <w:div w:id="1501122907">
      <w:bodyDiv w:val="1"/>
      <w:marLeft w:val="0"/>
      <w:marRight w:val="0"/>
      <w:marTop w:val="0"/>
      <w:marBottom w:val="0"/>
      <w:divBdr>
        <w:top w:val="none" w:sz="0" w:space="0" w:color="auto"/>
        <w:left w:val="none" w:sz="0" w:space="0" w:color="auto"/>
        <w:bottom w:val="none" w:sz="0" w:space="0" w:color="auto"/>
        <w:right w:val="none" w:sz="0" w:space="0" w:color="auto"/>
      </w:divBdr>
    </w:div>
    <w:div w:id="1747798360">
      <w:bodyDiv w:val="1"/>
      <w:marLeft w:val="0"/>
      <w:marRight w:val="0"/>
      <w:marTop w:val="0"/>
      <w:marBottom w:val="0"/>
      <w:divBdr>
        <w:top w:val="none" w:sz="0" w:space="0" w:color="auto"/>
        <w:left w:val="none" w:sz="0" w:space="0" w:color="auto"/>
        <w:bottom w:val="none" w:sz="0" w:space="0" w:color="auto"/>
        <w:right w:val="none" w:sz="0" w:space="0" w:color="auto"/>
      </w:divBdr>
    </w:div>
    <w:div w:id="1798641893">
      <w:bodyDiv w:val="1"/>
      <w:marLeft w:val="0"/>
      <w:marRight w:val="0"/>
      <w:marTop w:val="0"/>
      <w:marBottom w:val="0"/>
      <w:divBdr>
        <w:top w:val="none" w:sz="0" w:space="0" w:color="auto"/>
        <w:left w:val="none" w:sz="0" w:space="0" w:color="auto"/>
        <w:bottom w:val="none" w:sz="0" w:space="0" w:color="auto"/>
        <w:right w:val="none" w:sz="0" w:space="0" w:color="auto"/>
      </w:divBdr>
    </w:div>
    <w:div w:id="18788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hington.zoom.us/j/2448300971" TargetMode="External"/><Relationship Id="rId13" Type="http://schemas.openxmlformats.org/officeDocument/2006/relationships/hyperlink" Target="http://tranzit.org/exhibitionarchive/texts/duro-seder-the-collective-work/" TargetMode="External"/><Relationship Id="rId18" Type="http://schemas.openxmlformats.org/officeDocument/2006/relationships/hyperlink" Target="https://davidgolumbia.medium.com/blockchain-the-white-mans-burden-e3ef75c978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stor-org.offcampus.lib.washington.edu/stable/25800346?sid=primo&amp;socuuid=9df880f9-e08c-4685-a6b3-7ec9b3becbee&amp;socplat=email&amp;utm_source=email" TargetMode="External"/><Relationship Id="rId17" Type="http://schemas.openxmlformats.org/officeDocument/2006/relationships/hyperlink" Target="https://www.artforum.com/print/202105/token-gesture-85475" TargetMode="External"/><Relationship Id="rId2" Type="http://schemas.openxmlformats.org/officeDocument/2006/relationships/numbering" Target="numbering.xml"/><Relationship Id="rId16" Type="http://schemas.openxmlformats.org/officeDocument/2006/relationships/hyperlink" Target="http://tranzit.org/exhibitionarchive/texts/gyula-pauer-pseudo-advertis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sh---art.com/article/germano-celant-arte-povera-notes-on-a-guerrilla-war/" TargetMode="External"/><Relationship Id="rId5" Type="http://schemas.openxmlformats.org/officeDocument/2006/relationships/webSettings" Target="webSettings.xml"/><Relationship Id="rId15" Type="http://schemas.openxmlformats.org/officeDocument/2006/relationships/hyperlink" Target="http://tranzit.org/exhibitionarchive/texts/exclusion-exercise/" TargetMode="External"/><Relationship Id="rId10" Type="http://schemas.openxmlformats.org/officeDocument/2006/relationships/hyperlink" Target="http://tranzit.org/exhibitionarchive/lines-by-branka-stipanci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nzit.org/exhibitionarchive/texts/branka-stipancic-lines/" TargetMode="External"/><Relationship Id="rId14" Type="http://schemas.openxmlformats.org/officeDocument/2006/relationships/hyperlink" Target="http://tranzit.org/exhibitionarchive/texts/ilya-kabakov-the-po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D24DA-CF9C-D042-BC95-9BC415AE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Rounthwaite</dc:creator>
  <cp:keywords/>
  <dc:description/>
  <cp:lastModifiedBy>Adair Rounthwaite</cp:lastModifiedBy>
  <cp:revision>3</cp:revision>
  <dcterms:created xsi:type="dcterms:W3CDTF">2021-11-01T23:41:00Z</dcterms:created>
  <dcterms:modified xsi:type="dcterms:W3CDTF">2021-11-01T23:48:00Z</dcterms:modified>
</cp:coreProperties>
</file>