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B52A" w14:textId="79B97AA1" w:rsidR="007C3296" w:rsidRPr="0090435E" w:rsidRDefault="007C3296" w:rsidP="007C3296">
      <w:pPr>
        <w:pStyle w:val="Heading1"/>
        <w:jc w:val="center"/>
        <w:rPr>
          <w:rFonts w:ascii="Times New Roman" w:eastAsiaTheme="minorHAnsi" w:hAnsi="Times New Roman" w:cs="Times New Roman"/>
          <w:smallCaps/>
        </w:rPr>
      </w:pPr>
      <w:r w:rsidRPr="0090435E">
        <w:rPr>
          <w:rFonts w:ascii="Times New Roman" w:eastAsiaTheme="minorHAnsi" w:hAnsi="Times New Roman" w:cs="Times New Roman"/>
          <w:smallCaps/>
          <w:noProof/>
          <w:color w:val="auto"/>
        </w:rPr>
        <mc:AlternateContent>
          <mc:Choice Requires="wps">
            <w:drawing>
              <wp:anchor distT="0" distB="0" distL="114300" distR="114300" simplePos="0" relativeHeight="251659264" behindDoc="0" locked="0" layoutInCell="1" allowOverlap="1" wp14:anchorId="749D293C" wp14:editId="2FA8C5F9">
                <wp:simplePos x="0" y="0"/>
                <wp:positionH relativeFrom="column">
                  <wp:posOffset>-11430</wp:posOffset>
                </wp:positionH>
                <wp:positionV relativeFrom="paragraph">
                  <wp:posOffset>-133350</wp:posOffset>
                </wp:positionV>
                <wp:extent cx="5895975" cy="1642110"/>
                <wp:effectExtent l="19050" t="19050" r="28575" b="15240"/>
                <wp:wrapNone/>
                <wp:docPr id="1" name="Rectangle 1"/>
                <wp:cNvGraphicFramePr/>
                <a:graphic xmlns:a="http://schemas.openxmlformats.org/drawingml/2006/main">
                  <a:graphicData uri="http://schemas.microsoft.com/office/word/2010/wordprocessingShape">
                    <wps:wsp>
                      <wps:cNvSpPr/>
                      <wps:spPr>
                        <a:xfrm>
                          <a:off x="0" y="0"/>
                          <a:ext cx="5895975" cy="164211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F26C0" id="Rectangle 1" o:spid="_x0000_s1026" style="position:absolute;margin-left:-.9pt;margin-top:-10.5pt;width:464.25pt;height:1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" filled="f" strokecolor="windowText" strokeweight="2.25pt"/>
            </w:pict>
          </mc:Fallback>
        </mc:AlternateContent>
      </w:r>
      <w:r>
        <w:rPr>
          <w:rFonts w:ascii="Times New Roman" w:eastAsiaTheme="minorHAnsi" w:hAnsi="Times New Roman" w:cs="Times New Roman"/>
          <w:smallCaps/>
          <w:color w:val="auto"/>
        </w:rPr>
        <w:t>Death and the Afterlife in the Ancient Near East</w:t>
      </w:r>
      <w:r w:rsidRPr="0090435E">
        <w:rPr>
          <w:rFonts w:ascii="Times New Roman" w:eastAsiaTheme="minorHAnsi" w:hAnsi="Times New Roman" w:cs="Times New Roman"/>
          <w:smallCaps/>
          <w:color w:val="auto"/>
        </w:rPr>
        <w:t xml:space="preserve"> (Near E </w:t>
      </w:r>
      <w:r>
        <w:rPr>
          <w:rFonts w:ascii="Times New Roman" w:eastAsiaTheme="minorHAnsi" w:hAnsi="Times New Roman" w:cs="Times New Roman"/>
          <w:smallCaps/>
          <w:color w:val="auto"/>
        </w:rPr>
        <w:t>309</w:t>
      </w:r>
      <w:r w:rsidR="000E00B7">
        <w:rPr>
          <w:rFonts w:ascii="Times New Roman" w:eastAsiaTheme="minorHAnsi" w:hAnsi="Times New Roman" w:cs="Times New Roman"/>
          <w:smallCaps/>
          <w:color w:val="auto"/>
        </w:rPr>
        <w:t>/509</w:t>
      </w:r>
      <w:r w:rsidRPr="0090435E">
        <w:rPr>
          <w:rFonts w:ascii="Times New Roman" w:eastAsiaTheme="minorHAnsi" w:hAnsi="Times New Roman" w:cs="Times New Roman"/>
          <w:smallCaps/>
          <w:color w:val="auto"/>
        </w:rPr>
        <w:t>)</w:t>
      </w:r>
    </w:p>
    <w:p w14:paraId="7B8CB71D" w14:textId="77777777" w:rsidR="007C3296" w:rsidRPr="0090435E" w:rsidRDefault="007C3296" w:rsidP="007C3296">
      <w:pPr>
        <w:spacing w:after="0"/>
        <w:jc w:val="center"/>
        <w:rPr>
          <w:rFonts w:asciiTheme="majorBidi" w:eastAsiaTheme="minorHAnsi" w:hAnsiTheme="majorBidi" w:cstheme="majorBidi"/>
          <w:smallCaps/>
          <w:sz w:val="28"/>
          <w:szCs w:val="28"/>
        </w:rPr>
      </w:pPr>
      <w:r w:rsidRPr="0090435E">
        <w:rPr>
          <w:rFonts w:asciiTheme="majorBidi" w:eastAsiaTheme="minorHAnsi" w:hAnsiTheme="majorBidi" w:cstheme="majorBidi"/>
          <w:smallCaps/>
          <w:sz w:val="28"/>
          <w:szCs w:val="28"/>
        </w:rPr>
        <w:t>3 credits</w:t>
      </w:r>
      <w:r>
        <w:rPr>
          <w:rFonts w:asciiTheme="majorBidi" w:eastAsiaTheme="minorHAnsi" w:hAnsiTheme="majorBidi" w:cstheme="majorBidi"/>
          <w:smallCaps/>
          <w:sz w:val="28"/>
          <w:szCs w:val="28"/>
        </w:rPr>
        <w:t xml:space="preserve"> (A&amp;H)</w:t>
      </w:r>
    </w:p>
    <w:p w14:paraId="6059CFD7" w14:textId="77777777" w:rsidR="007C3296" w:rsidRPr="0090435E" w:rsidRDefault="007C3296" w:rsidP="007C3296">
      <w:pPr>
        <w:spacing w:after="0"/>
        <w:jc w:val="center"/>
        <w:rPr>
          <w:rFonts w:asciiTheme="majorBidi" w:eastAsiaTheme="minorHAnsi" w:hAnsiTheme="majorBidi" w:cstheme="majorBidi"/>
          <w:i/>
          <w:iCs/>
          <w:szCs w:val="24"/>
        </w:rPr>
      </w:pPr>
      <w:r w:rsidRPr="0090435E">
        <w:rPr>
          <w:rFonts w:asciiTheme="majorBidi" w:eastAsiaTheme="minorHAnsi" w:hAnsiTheme="majorBidi" w:cstheme="majorBidi"/>
          <w:i/>
          <w:iCs/>
          <w:szCs w:val="24"/>
        </w:rPr>
        <w:t>University of Washington</w:t>
      </w:r>
    </w:p>
    <w:p w14:paraId="70875221" w14:textId="209C5E91" w:rsidR="007C3296" w:rsidRPr="0090435E" w:rsidRDefault="007C3296" w:rsidP="007C3296">
      <w:pPr>
        <w:spacing w:after="0"/>
        <w:jc w:val="center"/>
        <w:rPr>
          <w:rFonts w:asciiTheme="majorBidi" w:eastAsiaTheme="minorHAnsi" w:hAnsiTheme="majorBidi" w:cstheme="majorBidi"/>
          <w:szCs w:val="24"/>
        </w:rPr>
      </w:pPr>
      <w:r w:rsidRPr="0090435E">
        <w:rPr>
          <w:rFonts w:asciiTheme="majorBidi" w:eastAsiaTheme="minorHAnsi" w:hAnsiTheme="majorBidi" w:cstheme="majorBidi"/>
          <w:szCs w:val="24"/>
        </w:rPr>
        <w:t xml:space="preserve">Department of Middle Eastern Languages and </w:t>
      </w:r>
      <w:r>
        <w:rPr>
          <w:rFonts w:asciiTheme="majorBidi" w:eastAsiaTheme="minorHAnsi" w:hAnsiTheme="majorBidi" w:cstheme="majorBidi"/>
          <w:szCs w:val="24"/>
        </w:rPr>
        <w:t xml:space="preserve">Cultures </w:t>
      </w:r>
    </w:p>
    <w:p w14:paraId="1266B2D4" w14:textId="491E72C7" w:rsidR="007C3296" w:rsidRPr="0090435E" w:rsidRDefault="007C3296" w:rsidP="007C3296">
      <w:pPr>
        <w:spacing w:after="0"/>
        <w:jc w:val="center"/>
        <w:rPr>
          <w:rFonts w:asciiTheme="majorBidi" w:eastAsiaTheme="minorHAnsi" w:hAnsiTheme="majorBidi" w:cstheme="majorBidi"/>
          <w:szCs w:val="24"/>
        </w:rPr>
      </w:pPr>
      <w:r>
        <w:rPr>
          <w:rFonts w:asciiTheme="majorBidi" w:eastAsiaTheme="minorHAnsi" w:hAnsiTheme="majorBidi" w:cstheme="majorBidi"/>
          <w:szCs w:val="24"/>
        </w:rPr>
        <w:t xml:space="preserve">Spring 2023 – </w:t>
      </w:r>
      <w:r w:rsidRPr="007C3296">
        <w:rPr>
          <w:rFonts w:asciiTheme="majorBidi" w:eastAsiaTheme="minorHAnsi" w:hAnsiTheme="majorBidi" w:cstheme="majorBidi"/>
          <w:szCs w:val="24"/>
        </w:rPr>
        <w:t>Savery 166 – MW</w:t>
      </w:r>
      <w:r>
        <w:rPr>
          <w:rFonts w:asciiTheme="majorBidi" w:eastAsiaTheme="minorHAnsi" w:hAnsiTheme="majorBidi" w:cstheme="majorBidi"/>
          <w:szCs w:val="24"/>
        </w:rPr>
        <w:t xml:space="preserve"> 3.30-4.50</w:t>
      </w:r>
    </w:p>
    <w:p w14:paraId="08E725CB" w14:textId="77777777" w:rsidR="007C3296" w:rsidRPr="0090435E" w:rsidRDefault="007C3296" w:rsidP="007C3296">
      <w:pPr>
        <w:spacing w:after="0"/>
        <w:jc w:val="both"/>
        <w:rPr>
          <w:rFonts w:asciiTheme="majorBidi" w:eastAsiaTheme="minorHAnsi" w:hAnsiTheme="majorBidi" w:cstheme="majorBidi"/>
          <w:szCs w:val="24"/>
          <w:highlight w:val="yellow"/>
        </w:rPr>
      </w:pPr>
    </w:p>
    <w:p w14:paraId="0ADF4039" w14:textId="77777777" w:rsidR="007C3296" w:rsidRDefault="007C3296" w:rsidP="007C3296">
      <w:pPr>
        <w:pStyle w:val="Heading2"/>
        <w:rPr>
          <w:rFonts w:ascii="Times New Roman" w:eastAsiaTheme="minorHAnsi" w:hAnsi="Times New Roman" w:cs="Times New Roman"/>
          <w:b/>
          <w:bCs/>
          <w:smallCaps/>
          <w:color w:val="auto"/>
          <w:sz w:val="24"/>
          <w:szCs w:val="24"/>
        </w:rPr>
      </w:pPr>
    </w:p>
    <w:p w14:paraId="26A187C2" w14:textId="07F987E6" w:rsidR="007C3296" w:rsidRPr="0090435E" w:rsidRDefault="007C3296" w:rsidP="007C3296">
      <w:pPr>
        <w:pStyle w:val="Heading2"/>
        <w:rPr>
          <w:rFonts w:ascii="Times New Roman" w:eastAsiaTheme="minorHAnsi" w:hAnsi="Times New Roman" w:cs="Times New Roman"/>
          <w:b/>
          <w:bCs/>
          <w:smallCaps/>
          <w:color w:val="auto"/>
          <w:sz w:val="24"/>
          <w:szCs w:val="24"/>
        </w:rPr>
      </w:pPr>
      <w:r w:rsidRPr="0090435E">
        <w:rPr>
          <w:rFonts w:ascii="Times New Roman" w:eastAsiaTheme="minorHAnsi" w:hAnsi="Times New Roman" w:cs="Times New Roman"/>
          <w:b/>
          <w:bCs/>
          <w:smallCaps/>
          <w:color w:val="auto"/>
          <w:sz w:val="24"/>
          <w:szCs w:val="24"/>
        </w:rPr>
        <w:t>Instructor Contact Information</w:t>
      </w:r>
    </w:p>
    <w:p w14:paraId="1DE1DAFF" w14:textId="77777777" w:rsidR="007C3296" w:rsidRPr="0090435E" w:rsidRDefault="007C3296" w:rsidP="007C3296">
      <w:pPr>
        <w:spacing w:after="0"/>
        <w:jc w:val="both"/>
        <w:rPr>
          <w:rFonts w:asciiTheme="majorBidi" w:eastAsiaTheme="minorHAnsi" w:hAnsiTheme="majorBidi" w:cstheme="majorBidi"/>
          <w:b/>
          <w:bCs/>
          <w:smallCaps/>
          <w:szCs w:val="24"/>
        </w:rPr>
      </w:pPr>
    </w:p>
    <w:p w14:paraId="7C9B20FB"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Instructor: Kathryn McConaughy Medill</w:t>
      </w:r>
    </w:p>
    <w:p w14:paraId="664D2DCC"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 xml:space="preserve">Email: </w:t>
      </w:r>
      <w:hyperlink r:id="rId7" w:history="1">
        <w:r w:rsidRPr="0090435E">
          <w:rPr>
            <w:rFonts w:asciiTheme="majorBidi" w:eastAsiaTheme="minorHAnsi" w:hAnsiTheme="majorBidi" w:cstheme="majorBidi"/>
            <w:color w:val="0563C1" w:themeColor="hyperlink"/>
            <w:szCs w:val="24"/>
            <w:u w:val="single"/>
          </w:rPr>
          <w:t>kmed1@uw.edu</w:t>
        </w:r>
      </w:hyperlink>
    </w:p>
    <w:p w14:paraId="39E2EB9D"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Mailbox: in Denny 220-D (MELC Department office)</w:t>
      </w:r>
    </w:p>
    <w:p w14:paraId="5175AD37"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Office: Denny M220B</w:t>
      </w:r>
    </w:p>
    <w:p w14:paraId="2A830640" w14:textId="7AE20345"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 xml:space="preserve">Office hours: </w:t>
      </w:r>
      <w:r w:rsidR="00FC698F">
        <w:rPr>
          <w:rFonts w:asciiTheme="majorBidi" w:eastAsiaTheme="minorHAnsi" w:hAnsiTheme="majorBidi" w:cstheme="majorBidi"/>
          <w:szCs w:val="24"/>
        </w:rPr>
        <w:t>Mon 12:15-1:15</w:t>
      </w:r>
      <w:r w:rsidR="00D53F6B">
        <w:rPr>
          <w:rFonts w:asciiTheme="majorBidi" w:eastAsiaTheme="minorHAnsi" w:hAnsiTheme="majorBidi" w:cstheme="majorBidi"/>
          <w:szCs w:val="24"/>
        </w:rPr>
        <w:t xml:space="preserve"> and</w:t>
      </w:r>
      <w:r w:rsidR="00FC698F">
        <w:rPr>
          <w:rFonts w:asciiTheme="majorBidi" w:eastAsiaTheme="minorHAnsi" w:hAnsiTheme="majorBidi" w:cstheme="majorBidi"/>
          <w:szCs w:val="24"/>
        </w:rPr>
        <w:t xml:space="preserve"> Wed 2:00-3:00</w:t>
      </w:r>
      <w:r w:rsidR="00D53F6B">
        <w:rPr>
          <w:rFonts w:asciiTheme="majorBidi" w:eastAsiaTheme="minorHAnsi" w:hAnsiTheme="majorBidi" w:cstheme="majorBidi"/>
          <w:szCs w:val="24"/>
        </w:rPr>
        <w:t xml:space="preserve"> (walk in)</w:t>
      </w:r>
      <w:r w:rsidR="00FC698F">
        <w:rPr>
          <w:rFonts w:asciiTheme="majorBidi" w:eastAsiaTheme="minorHAnsi" w:hAnsiTheme="majorBidi" w:cstheme="majorBidi"/>
          <w:szCs w:val="24"/>
        </w:rPr>
        <w:t>,</w:t>
      </w:r>
      <w:r w:rsidR="00D53F6B">
        <w:rPr>
          <w:rFonts w:asciiTheme="majorBidi" w:eastAsiaTheme="minorHAnsi" w:hAnsiTheme="majorBidi" w:cstheme="majorBidi"/>
          <w:szCs w:val="24"/>
        </w:rPr>
        <w:t xml:space="preserve"> or</w:t>
      </w:r>
      <w:r w:rsidR="00FC698F">
        <w:rPr>
          <w:rFonts w:asciiTheme="majorBidi" w:eastAsiaTheme="minorHAnsi" w:hAnsiTheme="majorBidi" w:cstheme="majorBidi"/>
          <w:szCs w:val="24"/>
        </w:rPr>
        <w:t xml:space="preserve"> by appointment</w:t>
      </w:r>
      <w:r w:rsidR="00D53F6B">
        <w:rPr>
          <w:rFonts w:asciiTheme="majorBidi" w:eastAsiaTheme="minorHAnsi" w:hAnsiTheme="majorBidi" w:cstheme="majorBidi"/>
          <w:szCs w:val="24"/>
        </w:rPr>
        <w:t xml:space="preserve"> at other times</w:t>
      </w:r>
    </w:p>
    <w:p w14:paraId="7F9394F8"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To find my office: Go in the main doors of Denny Hall; head left through the Middle Eastern Languages and Civilization offices. Go down the shallow ramp. At the bottom of the ramp, on your right is the door to the mezzanine stairwell. Go up the stairwell one flight.</w:t>
      </w:r>
      <w:r>
        <w:rPr>
          <w:rFonts w:asciiTheme="majorBidi" w:eastAsiaTheme="minorHAnsi" w:hAnsiTheme="majorBidi" w:cstheme="majorBidi"/>
          <w:szCs w:val="24"/>
        </w:rPr>
        <w:t xml:space="preserve"> My office is to the left.</w:t>
      </w:r>
    </w:p>
    <w:p w14:paraId="5BC6F87C" w14:textId="77777777" w:rsidR="007C3296" w:rsidRPr="0090435E" w:rsidRDefault="007C3296" w:rsidP="007C3296">
      <w:pPr>
        <w:spacing w:after="0"/>
        <w:jc w:val="both"/>
        <w:rPr>
          <w:rFonts w:asciiTheme="majorBidi" w:eastAsiaTheme="minorHAnsi" w:hAnsiTheme="majorBidi" w:cstheme="majorBidi"/>
          <w:szCs w:val="24"/>
        </w:rPr>
      </w:pPr>
    </w:p>
    <w:p w14:paraId="7B3799C4" w14:textId="77777777" w:rsidR="007C3296" w:rsidRPr="00495519" w:rsidRDefault="007C3296" w:rsidP="007C3296">
      <w:pPr>
        <w:pStyle w:val="Heading2"/>
        <w:rPr>
          <w:rFonts w:ascii="Times New Roman" w:eastAsiaTheme="minorHAnsi" w:hAnsi="Times New Roman" w:cs="Times New Roman"/>
          <w:b/>
          <w:bCs/>
          <w:smallCaps/>
          <w:color w:val="auto"/>
          <w:sz w:val="24"/>
          <w:szCs w:val="24"/>
        </w:rPr>
      </w:pPr>
      <w:r w:rsidRPr="00495519">
        <w:rPr>
          <w:rFonts w:ascii="Times New Roman" w:eastAsiaTheme="minorHAnsi" w:hAnsi="Times New Roman" w:cs="Times New Roman"/>
          <w:b/>
          <w:bCs/>
          <w:smallCaps/>
          <w:color w:val="auto"/>
          <w:sz w:val="24"/>
          <w:szCs w:val="24"/>
        </w:rPr>
        <w:t>Course Description</w:t>
      </w:r>
    </w:p>
    <w:p w14:paraId="1F12E38D" w14:textId="55FF9F03" w:rsidR="007C3296" w:rsidRDefault="007C3296" w:rsidP="007C3296">
      <w:pPr>
        <w:spacing w:after="0"/>
        <w:jc w:val="both"/>
        <w:rPr>
          <w:rFonts w:asciiTheme="majorBidi" w:eastAsiaTheme="minorHAnsi" w:hAnsiTheme="majorBidi" w:cstheme="majorBidi"/>
          <w:szCs w:val="24"/>
        </w:rPr>
      </w:pPr>
      <w:r>
        <w:rPr>
          <w:rFonts w:asciiTheme="majorBidi" w:eastAsiaTheme="minorHAnsi" w:hAnsiTheme="majorBidi" w:cstheme="majorBidi"/>
          <w:szCs w:val="24"/>
        </w:rPr>
        <w:tab/>
        <w:t>Investigates beliefs about death and the afterlife the ancient Near East, drawing on sources from Egypt, Mesopotamia, Syria, and Canaan to address questions such as, “</w:t>
      </w:r>
      <w:r w:rsidRPr="00D14B65">
        <w:rPr>
          <w:rFonts w:asciiTheme="majorBidi" w:eastAsiaTheme="minorHAnsi" w:hAnsiTheme="majorBidi" w:cstheme="majorBidi"/>
          <w:szCs w:val="24"/>
        </w:rPr>
        <w:t>What</w:t>
      </w:r>
      <w:r>
        <w:rPr>
          <w:rFonts w:asciiTheme="majorBidi" w:eastAsiaTheme="minorHAnsi" w:hAnsiTheme="majorBidi" w:cstheme="majorBidi"/>
          <w:szCs w:val="24"/>
        </w:rPr>
        <w:t xml:space="preserve"> did the peoples of this region think happened to them after they died, and how did their ideas shape the ways that they buried their dead?” </w:t>
      </w:r>
    </w:p>
    <w:p w14:paraId="32B048B4" w14:textId="51986775" w:rsidR="007C3296" w:rsidRDefault="007C3296" w:rsidP="007C3296">
      <w:pPr>
        <w:spacing w:after="0"/>
        <w:jc w:val="both"/>
        <w:rPr>
          <w:rFonts w:asciiTheme="majorBidi" w:eastAsiaTheme="minorHAnsi" w:hAnsiTheme="majorBidi" w:cstheme="majorBidi"/>
          <w:szCs w:val="24"/>
        </w:rPr>
      </w:pPr>
      <w:r>
        <w:rPr>
          <w:rFonts w:asciiTheme="majorBidi" w:eastAsiaTheme="minorHAnsi" w:hAnsiTheme="majorBidi" w:cstheme="majorBidi"/>
          <w:szCs w:val="24"/>
        </w:rPr>
        <w:tab/>
        <w:t>Highlights ways in which ideas of death differed between cultures.</w:t>
      </w:r>
    </w:p>
    <w:p w14:paraId="5EC5D1B0" w14:textId="660A3323" w:rsidR="00802236" w:rsidRDefault="00802236" w:rsidP="007C3296">
      <w:pPr>
        <w:spacing w:after="0"/>
        <w:jc w:val="both"/>
        <w:rPr>
          <w:rFonts w:asciiTheme="majorBidi" w:eastAsiaTheme="minorHAnsi" w:hAnsiTheme="majorBidi" w:cstheme="majorBidi"/>
          <w:szCs w:val="24"/>
        </w:rPr>
      </w:pPr>
    </w:p>
    <w:p w14:paraId="3058BCA1" w14:textId="6538B5C4" w:rsidR="00802236" w:rsidRPr="00802236" w:rsidRDefault="00802236" w:rsidP="007C3296">
      <w:pPr>
        <w:spacing w:after="0"/>
        <w:jc w:val="both"/>
        <w:rPr>
          <w:rFonts w:asciiTheme="majorBidi" w:eastAsiaTheme="minorHAnsi" w:hAnsiTheme="majorBidi" w:cstheme="majorBidi"/>
          <w:b/>
          <w:bCs/>
          <w:smallCaps/>
          <w:szCs w:val="24"/>
        </w:rPr>
      </w:pPr>
      <w:r w:rsidRPr="00802236">
        <w:rPr>
          <w:rFonts w:asciiTheme="majorBidi" w:eastAsiaTheme="minorHAnsi" w:hAnsiTheme="majorBidi" w:cstheme="majorBidi"/>
          <w:b/>
          <w:bCs/>
          <w:smallCaps/>
          <w:szCs w:val="24"/>
        </w:rPr>
        <w:t>Course Modality</w:t>
      </w:r>
    </w:p>
    <w:p w14:paraId="4BA2080E" w14:textId="7BC17E7D" w:rsidR="00802236" w:rsidRPr="009565B3" w:rsidRDefault="00802236" w:rsidP="007C3296">
      <w:pPr>
        <w:spacing w:after="0"/>
        <w:jc w:val="both"/>
        <w:rPr>
          <w:rFonts w:asciiTheme="majorBidi" w:eastAsiaTheme="minorHAnsi" w:hAnsiTheme="majorBidi" w:cstheme="majorBidi"/>
          <w:szCs w:val="24"/>
        </w:rPr>
      </w:pPr>
      <w:r>
        <w:rPr>
          <w:rFonts w:asciiTheme="majorBidi" w:eastAsiaTheme="minorHAnsi" w:hAnsiTheme="majorBidi" w:cstheme="majorBidi"/>
          <w:szCs w:val="24"/>
        </w:rPr>
        <w:t>This course is offered in person. If you won’t be able to attend most of our in-person meetings, this course may not be a good fit for you.</w:t>
      </w:r>
    </w:p>
    <w:p w14:paraId="2FE1E8E0" w14:textId="77777777" w:rsidR="007C3296" w:rsidRPr="001B157B" w:rsidRDefault="007C3296" w:rsidP="007C3296">
      <w:pPr>
        <w:spacing w:after="0"/>
        <w:jc w:val="both"/>
        <w:rPr>
          <w:rFonts w:asciiTheme="majorBidi" w:eastAsiaTheme="minorHAnsi" w:hAnsiTheme="majorBidi" w:cstheme="majorBidi"/>
          <w:szCs w:val="24"/>
          <w:highlight w:val="yellow"/>
        </w:rPr>
      </w:pPr>
    </w:p>
    <w:p w14:paraId="08AF97CB" w14:textId="77777777" w:rsidR="007C3296" w:rsidRPr="0090435E" w:rsidRDefault="007C3296" w:rsidP="007C3296">
      <w:pPr>
        <w:pStyle w:val="Heading2"/>
        <w:rPr>
          <w:rFonts w:ascii="Times New Roman" w:eastAsiaTheme="minorHAnsi" w:hAnsi="Times New Roman" w:cs="Times New Roman"/>
          <w:b/>
          <w:bCs/>
          <w:smallCaps/>
          <w:color w:val="auto"/>
          <w:sz w:val="24"/>
          <w:szCs w:val="24"/>
        </w:rPr>
      </w:pPr>
      <w:r w:rsidRPr="007D0BB2">
        <w:rPr>
          <w:rFonts w:ascii="Times New Roman" w:eastAsiaTheme="minorHAnsi" w:hAnsi="Times New Roman" w:cs="Times New Roman"/>
          <w:b/>
          <w:bCs/>
          <w:smallCaps/>
          <w:color w:val="auto"/>
          <w:sz w:val="24"/>
          <w:szCs w:val="24"/>
        </w:rPr>
        <w:t>Course Objectives</w:t>
      </w:r>
    </w:p>
    <w:p w14:paraId="535F05FC" w14:textId="77777777" w:rsidR="007C3296" w:rsidRDefault="007C3296" w:rsidP="007C3296">
      <w:pPr>
        <w:spacing w:after="0"/>
        <w:ind w:left="720" w:hanging="720"/>
        <w:contextualSpacing/>
        <w:jc w:val="both"/>
        <w:rPr>
          <w:rFonts w:asciiTheme="majorBidi" w:eastAsiaTheme="minorHAnsi" w:hAnsiTheme="majorBidi" w:cstheme="majorBidi"/>
          <w:szCs w:val="24"/>
        </w:rPr>
      </w:pPr>
      <w:r w:rsidRPr="007D0BB2">
        <w:rPr>
          <w:rFonts w:asciiTheme="majorBidi" w:eastAsiaTheme="minorHAnsi" w:hAnsiTheme="majorBidi" w:cstheme="majorBidi"/>
          <w:szCs w:val="24"/>
        </w:rPr>
        <w:t>By the end of this</w:t>
      </w:r>
      <w:r>
        <w:rPr>
          <w:rFonts w:asciiTheme="majorBidi" w:eastAsiaTheme="minorHAnsi" w:hAnsiTheme="majorBidi" w:cstheme="majorBidi"/>
          <w:szCs w:val="24"/>
        </w:rPr>
        <w:t xml:space="preserve"> course, students are expected to learn</w:t>
      </w:r>
    </w:p>
    <w:p w14:paraId="7F757A12" w14:textId="67FBC397" w:rsidR="007C3296" w:rsidRPr="00802236" w:rsidRDefault="007C329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t xml:space="preserve">to contextualize </w:t>
      </w:r>
      <w:r w:rsidR="00802236" w:rsidRPr="00802236">
        <w:rPr>
          <w:rFonts w:asciiTheme="majorBidi" w:eastAsiaTheme="minorHAnsi" w:hAnsiTheme="majorBidi" w:cstheme="majorBidi"/>
          <w:szCs w:val="24"/>
        </w:rPr>
        <w:t>burial practices from Egypt, Mesopotamia, and Syria/Canaan</w:t>
      </w:r>
    </w:p>
    <w:p w14:paraId="408B7835" w14:textId="640C81E4" w:rsidR="00802236" w:rsidRPr="00802236" w:rsidRDefault="0080223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t>to explain myths about the afterlife from these three regions and how they may have impacted burial practices</w:t>
      </w:r>
    </w:p>
    <w:p w14:paraId="4EDFF6F2" w14:textId="01BAE3D8" w:rsidR="00802236" w:rsidRPr="00802236" w:rsidRDefault="0080223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t>to identify the purposes for which burial literature was written</w:t>
      </w:r>
    </w:p>
    <w:p w14:paraId="79C37EC0" w14:textId="1D9DEA4E" w:rsidR="00802236" w:rsidRPr="00802236" w:rsidRDefault="0080223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t>to describe different types of tomb art and artifacts and their purposes</w:t>
      </w:r>
    </w:p>
    <w:p w14:paraId="33D55AE8" w14:textId="77777777" w:rsidR="007C3296" w:rsidRPr="00802236" w:rsidRDefault="007C329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t>to identify several genres of royal literature by their distinctive characteristics</w:t>
      </w:r>
    </w:p>
    <w:p w14:paraId="1B0D53DF" w14:textId="387CA283" w:rsidR="007C3296" w:rsidRPr="00802236" w:rsidRDefault="007C329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t xml:space="preserve">to synthesize their understanding of </w:t>
      </w:r>
      <w:r w:rsidR="00802236" w:rsidRPr="00802236">
        <w:rPr>
          <w:rFonts w:asciiTheme="majorBidi" w:eastAsiaTheme="minorHAnsi" w:hAnsiTheme="majorBidi" w:cstheme="majorBidi"/>
          <w:szCs w:val="24"/>
        </w:rPr>
        <w:t>burial practices and their reasons</w:t>
      </w:r>
      <w:r w:rsidRPr="00802236">
        <w:rPr>
          <w:rFonts w:asciiTheme="majorBidi" w:eastAsiaTheme="minorHAnsi" w:hAnsiTheme="majorBidi" w:cstheme="majorBidi"/>
          <w:szCs w:val="24"/>
        </w:rPr>
        <w:t xml:space="preserve"> </w:t>
      </w:r>
      <w:r w:rsidR="00802236" w:rsidRPr="00802236">
        <w:rPr>
          <w:rFonts w:asciiTheme="majorBidi" w:eastAsiaTheme="minorHAnsi" w:hAnsiTheme="majorBidi" w:cstheme="majorBidi"/>
          <w:szCs w:val="24"/>
        </w:rPr>
        <w:t>by creating a burial plan</w:t>
      </w:r>
    </w:p>
    <w:p w14:paraId="69574077" w14:textId="547CA6EE" w:rsidR="007C3296" w:rsidRPr="00802236" w:rsidRDefault="007C3296" w:rsidP="007C3296">
      <w:pPr>
        <w:pStyle w:val="ListParagraph"/>
        <w:numPr>
          <w:ilvl w:val="0"/>
          <w:numId w:val="5"/>
        </w:numPr>
        <w:spacing w:after="0"/>
        <w:jc w:val="both"/>
        <w:rPr>
          <w:rFonts w:asciiTheme="majorBidi" w:eastAsiaTheme="minorHAnsi" w:hAnsiTheme="majorBidi" w:cstheme="majorBidi"/>
          <w:szCs w:val="24"/>
        </w:rPr>
      </w:pPr>
      <w:r w:rsidRPr="00802236">
        <w:rPr>
          <w:rFonts w:asciiTheme="majorBidi" w:eastAsiaTheme="minorHAnsi" w:hAnsiTheme="majorBidi" w:cstheme="majorBidi"/>
          <w:szCs w:val="24"/>
        </w:rPr>
        <w:lastRenderedPageBreak/>
        <w:t xml:space="preserve">to reflect on their own ideas about </w:t>
      </w:r>
      <w:r w:rsidR="00802236" w:rsidRPr="00802236">
        <w:rPr>
          <w:rFonts w:asciiTheme="majorBidi" w:eastAsiaTheme="minorHAnsi" w:hAnsiTheme="majorBidi" w:cstheme="majorBidi"/>
          <w:szCs w:val="24"/>
        </w:rPr>
        <w:t>death and the afterlife</w:t>
      </w:r>
      <w:r w:rsidRPr="00802236">
        <w:rPr>
          <w:rFonts w:asciiTheme="majorBidi" w:eastAsiaTheme="minorHAnsi" w:hAnsiTheme="majorBidi" w:cstheme="majorBidi"/>
          <w:szCs w:val="24"/>
        </w:rPr>
        <w:t xml:space="preserve"> and how their modern sociohistorical context has informed those ideas</w:t>
      </w:r>
    </w:p>
    <w:p w14:paraId="535106BF" w14:textId="77777777" w:rsidR="007C3296" w:rsidRPr="0090435E" w:rsidRDefault="007C3296" w:rsidP="007C3296">
      <w:pPr>
        <w:spacing w:after="0"/>
        <w:ind w:left="720"/>
        <w:contextualSpacing/>
        <w:jc w:val="both"/>
        <w:rPr>
          <w:rFonts w:asciiTheme="majorBidi" w:eastAsiaTheme="minorHAnsi" w:hAnsiTheme="majorBidi" w:cstheme="majorBidi"/>
          <w:szCs w:val="24"/>
          <w:highlight w:val="yellow"/>
        </w:rPr>
      </w:pPr>
    </w:p>
    <w:p w14:paraId="667CAE58" w14:textId="77777777" w:rsidR="007C3296"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Course Materials</w:t>
      </w:r>
    </w:p>
    <w:p w14:paraId="58394174" w14:textId="77777777" w:rsidR="007C3296" w:rsidRPr="007D0BB2" w:rsidRDefault="007C3296" w:rsidP="007C3296">
      <w:pPr>
        <w:rPr>
          <w:b/>
          <w:bCs/>
          <w:smallCaps/>
        </w:rPr>
      </w:pPr>
      <w:r w:rsidRPr="0090435E">
        <w:t xml:space="preserve">Course materials will be available on </w:t>
      </w:r>
      <w:r w:rsidRPr="0090435E">
        <w:rPr>
          <w:b/>
          <w:bCs/>
        </w:rPr>
        <w:t>our class Canvas site</w:t>
      </w:r>
      <w:r w:rsidRPr="0090435E">
        <w:t>.</w:t>
      </w:r>
    </w:p>
    <w:p w14:paraId="2790F707" w14:textId="77777777" w:rsidR="007C3296" w:rsidRPr="0090435E" w:rsidRDefault="007C3296" w:rsidP="007C3296">
      <w:pPr>
        <w:pStyle w:val="Heading2"/>
        <w:rPr>
          <w:rFonts w:ascii="Times New Roman" w:eastAsiaTheme="minorHAnsi" w:hAnsi="Times New Roman" w:cs="Times New Roman"/>
          <w:b/>
          <w:bCs/>
          <w:smallCaps/>
          <w:color w:val="auto"/>
          <w:sz w:val="24"/>
          <w:szCs w:val="24"/>
        </w:rPr>
      </w:pPr>
      <w:r w:rsidRPr="00CA59BD">
        <w:rPr>
          <w:rFonts w:ascii="Times New Roman" w:eastAsiaTheme="minorHAnsi" w:hAnsi="Times New Roman" w:cs="Times New Roman"/>
          <w:b/>
          <w:bCs/>
          <w:smallCaps/>
          <w:color w:val="auto"/>
          <w:sz w:val="24"/>
          <w:szCs w:val="24"/>
        </w:rPr>
        <w:t>Course Format</w:t>
      </w:r>
    </w:p>
    <w:p w14:paraId="5822CAA3" w14:textId="4F0A1A1B" w:rsidR="007C3296" w:rsidRPr="007D0BB2" w:rsidRDefault="007C3296" w:rsidP="00802236">
      <w:pPr>
        <w:spacing w:after="0"/>
        <w:contextualSpacing/>
        <w:jc w:val="both"/>
        <w:rPr>
          <w:rFonts w:asciiTheme="majorBidi" w:eastAsiaTheme="minorHAnsi" w:hAnsiTheme="majorBidi" w:cstheme="majorBidi"/>
          <w:szCs w:val="24"/>
        </w:rPr>
      </w:pPr>
      <w:r>
        <w:rPr>
          <w:rFonts w:asciiTheme="majorBidi" w:eastAsiaTheme="minorHAnsi" w:hAnsiTheme="majorBidi" w:cstheme="majorBidi"/>
          <w:smallCaps/>
          <w:szCs w:val="24"/>
        </w:rPr>
        <w:t>C</w:t>
      </w:r>
      <w:r>
        <w:rPr>
          <w:rFonts w:asciiTheme="majorBidi" w:eastAsiaTheme="minorHAnsi" w:hAnsiTheme="majorBidi" w:cstheme="majorBidi"/>
          <w:szCs w:val="24"/>
        </w:rPr>
        <w:t xml:space="preserve">lass will meet in person twice a week. </w:t>
      </w:r>
      <w:r w:rsidRPr="00D874D5">
        <w:rPr>
          <w:szCs w:val="24"/>
        </w:rPr>
        <w:t xml:space="preserve">Each class </w:t>
      </w:r>
      <w:r>
        <w:rPr>
          <w:szCs w:val="24"/>
        </w:rPr>
        <w:t>consists mostly of</w:t>
      </w:r>
      <w:r w:rsidRPr="00D874D5">
        <w:rPr>
          <w:szCs w:val="24"/>
        </w:rPr>
        <w:t xml:space="preserve"> </w:t>
      </w:r>
      <w:r>
        <w:rPr>
          <w:szCs w:val="24"/>
        </w:rPr>
        <w:t xml:space="preserve">close reading and </w:t>
      </w:r>
      <w:r w:rsidRPr="00D874D5">
        <w:rPr>
          <w:szCs w:val="24"/>
        </w:rPr>
        <w:t xml:space="preserve">discussion rather than </w:t>
      </w:r>
      <w:r>
        <w:rPr>
          <w:szCs w:val="24"/>
        </w:rPr>
        <w:t xml:space="preserve">of </w:t>
      </w:r>
      <w:r w:rsidRPr="00D874D5">
        <w:rPr>
          <w:szCs w:val="24"/>
        </w:rPr>
        <w:t xml:space="preserve">lecture </w:t>
      </w:r>
      <w:r>
        <w:rPr>
          <w:szCs w:val="24"/>
        </w:rPr>
        <w:t>alone</w:t>
      </w:r>
      <w:r w:rsidRPr="00D874D5">
        <w:rPr>
          <w:szCs w:val="24"/>
        </w:rPr>
        <w:t xml:space="preserve">, so students are responsible for all readings before the start of class and are expected to actively contribute. </w:t>
      </w:r>
      <w:r w:rsidRPr="00D874D5">
        <w:rPr>
          <w:color w:val="000000"/>
          <w:szCs w:val="24"/>
        </w:rPr>
        <w:t xml:space="preserve">At times, the class </w:t>
      </w:r>
      <w:r>
        <w:rPr>
          <w:color w:val="000000"/>
          <w:szCs w:val="24"/>
        </w:rPr>
        <w:t>may</w:t>
      </w:r>
      <w:r w:rsidRPr="00D874D5">
        <w:rPr>
          <w:color w:val="000000"/>
          <w:szCs w:val="24"/>
        </w:rPr>
        <w:t xml:space="preserve"> be split into smaller groups to further discuss the themes of the class and then each group will present their collected ideas.</w:t>
      </w:r>
    </w:p>
    <w:p w14:paraId="49C4C71A" w14:textId="77777777" w:rsidR="007C3296" w:rsidRPr="0090435E" w:rsidRDefault="007C3296" w:rsidP="007C3296">
      <w:pPr>
        <w:spacing w:after="0"/>
        <w:contextualSpacing/>
        <w:jc w:val="both"/>
        <w:rPr>
          <w:rFonts w:asciiTheme="majorBidi" w:eastAsiaTheme="minorHAnsi" w:hAnsiTheme="majorBidi" w:cstheme="majorBidi"/>
          <w:b/>
          <w:bCs/>
          <w:smallCaps/>
          <w:szCs w:val="24"/>
        </w:rPr>
      </w:pPr>
    </w:p>
    <w:p w14:paraId="1D16FBE7" w14:textId="77777777" w:rsidR="007C3296" w:rsidRPr="0090435E"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Grading Policy</w:t>
      </w:r>
    </w:p>
    <w:p w14:paraId="15CA7D06" w14:textId="77777777" w:rsidR="007C3296" w:rsidRDefault="007C3296" w:rsidP="007C3296">
      <w:pPr>
        <w:spacing w:after="0"/>
        <w:ind w:left="720" w:hanging="720"/>
        <w:contextualSpacing/>
        <w:jc w:val="both"/>
        <w:rPr>
          <w:rFonts w:asciiTheme="majorBidi" w:eastAsiaTheme="minorHAnsi" w:hAnsiTheme="majorBidi" w:cstheme="majorBidi"/>
          <w:szCs w:val="24"/>
        </w:rPr>
      </w:pPr>
      <w:r>
        <w:rPr>
          <w:rFonts w:asciiTheme="majorBidi" w:eastAsiaTheme="minorHAnsi" w:hAnsiTheme="majorBidi" w:cstheme="majorBidi"/>
          <w:szCs w:val="24"/>
        </w:rPr>
        <w:t>You will be able to track your grades in Canvas during the quarter. If you have concerns, please come see me in my office. Due to FERPA, I can’t discuss your grades over email.</w:t>
      </w:r>
    </w:p>
    <w:p w14:paraId="09654136" w14:textId="77777777" w:rsidR="007C3296" w:rsidRPr="0090435E" w:rsidRDefault="007C3296" w:rsidP="000E00B7">
      <w:pPr>
        <w:spacing w:after="0"/>
        <w:contextualSpacing/>
        <w:jc w:val="both"/>
        <w:rPr>
          <w:rFonts w:asciiTheme="majorBidi" w:eastAsiaTheme="minorHAnsi" w:hAnsiTheme="majorBidi" w:cstheme="majorBidi"/>
          <w:szCs w:val="24"/>
          <w:highlight w:val="yellow"/>
        </w:rPr>
      </w:pPr>
    </w:p>
    <w:p w14:paraId="2D6D3E60" w14:textId="77777777" w:rsidR="001C397B" w:rsidRDefault="001C397B" w:rsidP="001C397B">
      <w:pPr>
        <w:spacing w:after="0"/>
        <w:ind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In Canvas, your course grade appears as a percentage. However, i</w:t>
      </w:r>
      <w:r w:rsidRPr="0090435E">
        <w:rPr>
          <w:rFonts w:asciiTheme="majorBidi" w:eastAsiaTheme="minorHAnsi" w:hAnsiTheme="majorBidi" w:cstheme="majorBidi"/>
          <w:szCs w:val="24"/>
        </w:rPr>
        <w:t>f you complete this course</w:t>
      </w:r>
      <w:r>
        <w:rPr>
          <w:rFonts w:asciiTheme="majorBidi" w:eastAsiaTheme="minorHAnsi" w:hAnsiTheme="majorBidi" w:cstheme="majorBidi"/>
          <w:szCs w:val="24"/>
        </w:rPr>
        <w:t>,</w:t>
      </w:r>
      <w:r w:rsidRPr="0090435E">
        <w:rPr>
          <w:rFonts w:asciiTheme="majorBidi" w:eastAsiaTheme="minorHAnsi" w:hAnsiTheme="majorBidi" w:cstheme="majorBidi"/>
          <w:szCs w:val="24"/>
        </w:rPr>
        <w:t xml:space="preserve"> you will receive </w:t>
      </w:r>
      <w:r>
        <w:rPr>
          <w:rFonts w:asciiTheme="majorBidi" w:eastAsiaTheme="minorHAnsi" w:hAnsiTheme="majorBidi" w:cstheme="majorBidi"/>
          <w:szCs w:val="24"/>
        </w:rPr>
        <w:t>a numerical grade out of 4.0</w:t>
      </w:r>
      <w:r w:rsidRPr="0090435E">
        <w:rPr>
          <w:rFonts w:asciiTheme="majorBidi" w:eastAsiaTheme="minorHAnsi" w:hAnsiTheme="majorBidi" w:cstheme="majorBidi"/>
          <w:szCs w:val="24"/>
        </w:rPr>
        <w:t>.</w:t>
      </w:r>
      <w:r>
        <w:rPr>
          <w:rFonts w:asciiTheme="majorBidi" w:eastAsiaTheme="minorHAnsi" w:hAnsiTheme="majorBidi" w:cstheme="majorBidi"/>
          <w:szCs w:val="24"/>
        </w:rPr>
        <w:t xml:space="preserve"> Basically, it is your GPA for a single course.</w:t>
      </w:r>
    </w:p>
    <w:p w14:paraId="52FEA5F1" w14:textId="77777777" w:rsidR="001C397B" w:rsidRDefault="001C397B" w:rsidP="001C397B">
      <w:pPr>
        <w:spacing w:after="0"/>
        <w:ind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This is the equation that we use:</w:t>
      </w:r>
    </w:p>
    <w:p w14:paraId="0E30E9D1" w14:textId="77777777" w:rsidR="001C397B" w:rsidRDefault="001C397B" w:rsidP="001C397B">
      <w:pPr>
        <w:spacing w:after="0"/>
        <w:ind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(course percentage/20) – 1 = GPA</w:t>
      </w:r>
    </w:p>
    <w:p w14:paraId="1BA2B351" w14:textId="36CDFBF9" w:rsidR="001C397B" w:rsidRDefault="001C397B" w:rsidP="00E542E6">
      <w:pPr>
        <w:spacing w:after="0"/>
        <w:ind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This is then rounded to one decimal place.</w:t>
      </w:r>
    </w:p>
    <w:p w14:paraId="4BC5D968" w14:textId="77777777" w:rsidR="001C397B" w:rsidRDefault="001C397B" w:rsidP="001C397B">
      <w:pPr>
        <w:spacing w:after="0"/>
        <w:ind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So, for example, if you have a 90% in the course, (90/20) – 1 = 3.5</w:t>
      </w:r>
    </w:p>
    <w:p w14:paraId="0032405B" w14:textId="77777777" w:rsidR="001C397B" w:rsidRDefault="001C397B" w:rsidP="001C397B">
      <w:pPr>
        <w:spacing w:after="0"/>
        <w:ind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If you have an 80%, (80/20) – 1 = 3.0</w:t>
      </w:r>
    </w:p>
    <w:p w14:paraId="22DB80CF" w14:textId="77777777" w:rsidR="001C397B" w:rsidRDefault="001C397B" w:rsidP="001C397B">
      <w:pPr>
        <w:spacing w:after="0"/>
        <w:contextualSpacing/>
        <w:jc w:val="both"/>
        <w:rPr>
          <w:rFonts w:asciiTheme="majorBidi" w:eastAsiaTheme="minorHAnsi" w:hAnsiTheme="majorBidi" w:cstheme="majorBidi"/>
          <w:szCs w:val="24"/>
        </w:rPr>
      </w:pPr>
    </w:p>
    <w:p w14:paraId="59E93CF2" w14:textId="77777777" w:rsidR="001C397B" w:rsidRDefault="001C397B" w:rsidP="001C397B">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0.8-0.7 is the lowest passing grade for undergraduates. Graduate students should be aware of their program’s requirements for passing grades.</w:t>
      </w:r>
    </w:p>
    <w:p w14:paraId="681A9764" w14:textId="26A1C8C8" w:rsidR="000E00B7" w:rsidRDefault="000E00B7" w:rsidP="007C3296">
      <w:pPr>
        <w:spacing w:after="0"/>
        <w:ind w:left="720"/>
        <w:contextualSpacing/>
        <w:jc w:val="both"/>
        <w:rPr>
          <w:rFonts w:asciiTheme="majorBidi" w:eastAsiaTheme="minorHAnsi" w:hAnsiTheme="majorBidi" w:cstheme="majorBidi"/>
          <w:szCs w:val="24"/>
        </w:rPr>
      </w:pPr>
    </w:p>
    <w:p w14:paraId="27A06939" w14:textId="6107283F" w:rsidR="000E00B7" w:rsidRPr="000E00B7" w:rsidRDefault="000E00B7" w:rsidP="000E00B7">
      <w:pPr>
        <w:spacing w:after="0"/>
        <w:ind w:left="720" w:hanging="720"/>
        <w:contextualSpacing/>
        <w:jc w:val="both"/>
        <w:rPr>
          <w:rFonts w:asciiTheme="majorBidi" w:eastAsiaTheme="minorHAnsi" w:hAnsiTheme="majorBidi" w:cstheme="majorBidi"/>
          <w:b/>
          <w:bCs/>
          <w:smallCaps/>
          <w:szCs w:val="24"/>
        </w:rPr>
      </w:pPr>
      <w:r>
        <w:rPr>
          <w:rFonts w:asciiTheme="majorBidi" w:eastAsiaTheme="minorHAnsi" w:hAnsiTheme="majorBidi" w:cstheme="majorBidi"/>
          <w:b/>
          <w:bCs/>
          <w:smallCaps/>
          <w:szCs w:val="24"/>
        </w:rPr>
        <w:t>Undergraduate Grading Breakdown</w:t>
      </w:r>
    </w:p>
    <w:p w14:paraId="7C235AED" w14:textId="6FB867C1" w:rsidR="000E00B7" w:rsidRPr="00CE613C" w:rsidRDefault="000E00B7"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 xml:space="preserve">In-Class Activities </w:t>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009B3FCD"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15%</w:t>
      </w:r>
    </w:p>
    <w:p w14:paraId="7364243D" w14:textId="1737D0DA" w:rsidR="000E00B7" w:rsidRPr="00CE613C" w:rsidRDefault="000E00B7"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 xml:space="preserve">Reading Questions </w:t>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009B3FCD" w:rsidRPr="00CE613C">
        <w:rPr>
          <w:rFonts w:asciiTheme="majorBidi" w:eastAsiaTheme="minorHAnsi" w:hAnsiTheme="majorBidi" w:cstheme="majorBidi"/>
          <w:szCs w:val="24"/>
        </w:rPr>
        <w:tab/>
        <w:t>25</w:t>
      </w:r>
      <w:r w:rsidRPr="00CE613C">
        <w:rPr>
          <w:rFonts w:asciiTheme="majorBidi" w:eastAsiaTheme="minorHAnsi" w:hAnsiTheme="majorBidi" w:cstheme="majorBidi"/>
          <w:szCs w:val="24"/>
        </w:rPr>
        <w:t>%</w:t>
      </w:r>
    </w:p>
    <w:p w14:paraId="63CF38F6" w14:textId="08476C76" w:rsidR="000E00B7" w:rsidRPr="00CE613C" w:rsidRDefault="000E00B7"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 xml:space="preserve">A Day </w:t>
      </w:r>
      <w:r w:rsidR="009B3FCD" w:rsidRPr="00CE613C">
        <w:rPr>
          <w:rFonts w:asciiTheme="majorBidi" w:eastAsiaTheme="minorHAnsi" w:hAnsiTheme="majorBidi" w:cstheme="majorBidi"/>
          <w:szCs w:val="24"/>
        </w:rPr>
        <w:t xml:space="preserve">(and Night) </w:t>
      </w:r>
      <w:r w:rsidRPr="00CE613C">
        <w:rPr>
          <w:rFonts w:asciiTheme="majorBidi" w:eastAsiaTheme="minorHAnsi" w:hAnsiTheme="majorBidi" w:cstheme="majorBidi"/>
          <w:szCs w:val="24"/>
        </w:rPr>
        <w:t>in the Life of a Ba</w:t>
      </w:r>
      <w:r w:rsidR="009B3FCD" w:rsidRPr="00CE613C">
        <w:rPr>
          <w:rFonts w:asciiTheme="majorBidi" w:eastAsiaTheme="minorHAnsi" w:hAnsiTheme="majorBidi" w:cstheme="majorBidi"/>
          <w:szCs w:val="24"/>
        </w:rPr>
        <w:t xml:space="preserve"> </w:t>
      </w:r>
      <w:r w:rsidR="009B3FCD" w:rsidRPr="00CE613C">
        <w:rPr>
          <w:rFonts w:asciiTheme="majorBidi" w:eastAsiaTheme="minorHAnsi" w:hAnsiTheme="majorBidi" w:cstheme="majorBidi"/>
          <w:szCs w:val="24"/>
        </w:rPr>
        <w:tab/>
        <w:t>15</w:t>
      </w:r>
      <w:r w:rsidRPr="00CE613C">
        <w:rPr>
          <w:rFonts w:asciiTheme="majorBidi" w:eastAsiaTheme="minorHAnsi" w:hAnsiTheme="majorBidi" w:cstheme="majorBidi"/>
          <w:szCs w:val="24"/>
        </w:rPr>
        <w:t>%</w:t>
      </w:r>
    </w:p>
    <w:p w14:paraId="1FC91880" w14:textId="58B5BF7F" w:rsidR="000E00B7" w:rsidRPr="00CE613C" w:rsidRDefault="009B3FCD"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The Life of a Ghost</w:t>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15</w:t>
      </w:r>
      <w:r w:rsidR="000E00B7" w:rsidRPr="00CE613C">
        <w:rPr>
          <w:rFonts w:asciiTheme="majorBidi" w:eastAsiaTheme="minorHAnsi" w:hAnsiTheme="majorBidi" w:cstheme="majorBidi"/>
          <w:szCs w:val="24"/>
        </w:rPr>
        <w:t>%</w:t>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p>
    <w:p w14:paraId="00BDA5E5" w14:textId="7D621509" w:rsidR="000E00B7" w:rsidRPr="00CE613C" w:rsidRDefault="000E00B7" w:rsidP="000E00B7">
      <w:pPr>
        <w:spacing w:after="0"/>
        <w:ind w:left="720"/>
        <w:contextualSpacing/>
        <w:jc w:val="both"/>
        <w:rPr>
          <w:rFonts w:asciiTheme="majorBidi" w:eastAsiaTheme="minorHAnsi" w:hAnsiTheme="majorBidi" w:cstheme="majorBidi"/>
          <w:szCs w:val="24"/>
          <w:u w:val="single"/>
        </w:rPr>
      </w:pPr>
      <w:r w:rsidRPr="00CE613C">
        <w:rPr>
          <w:rFonts w:asciiTheme="majorBidi" w:eastAsiaTheme="minorHAnsi" w:hAnsiTheme="majorBidi" w:cstheme="majorBidi"/>
          <w:szCs w:val="24"/>
          <w:u w:val="single"/>
        </w:rPr>
        <w:t xml:space="preserve">Burial </w:t>
      </w:r>
      <w:r w:rsidR="009B3FCD" w:rsidRPr="00CE613C">
        <w:rPr>
          <w:rFonts w:asciiTheme="majorBidi" w:eastAsiaTheme="minorHAnsi" w:hAnsiTheme="majorBidi" w:cstheme="majorBidi"/>
          <w:szCs w:val="24"/>
          <w:u w:val="single"/>
        </w:rPr>
        <w:t xml:space="preserve">Plan </w:t>
      </w:r>
      <w:r w:rsidRPr="00CE613C">
        <w:rPr>
          <w:rFonts w:asciiTheme="majorBidi" w:eastAsiaTheme="minorHAnsi" w:hAnsiTheme="majorBidi" w:cstheme="majorBidi"/>
          <w:szCs w:val="24"/>
          <w:u w:val="single"/>
        </w:rPr>
        <w:t>Presentation</w:t>
      </w:r>
      <w:r w:rsidR="00E542E6">
        <w:rPr>
          <w:rFonts w:asciiTheme="majorBidi" w:eastAsiaTheme="minorHAnsi" w:hAnsiTheme="majorBidi" w:cstheme="majorBidi"/>
          <w:szCs w:val="24"/>
          <w:u w:val="single"/>
        </w:rPr>
        <w:t xml:space="preserve"> &amp; Reflection</w:t>
      </w:r>
      <w:r w:rsidRPr="00CE613C">
        <w:rPr>
          <w:rFonts w:asciiTheme="majorBidi" w:eastAsiaTheme="minorHAnsi" w:hAnsiTheme="majorBidi" w:cstheme="majorBidi"/>
          <w:szCs w:val="24"/>
          <w:u w:val="single"/>
        </w:rPr>
        <w:tab/>
      </w:r>
      <w:r w:rsidR="00CE613C" w:rsidRPr="00CE613C">
        <w:rPr>
          <w:rFonts w:asciiTheme="majorBidi" w:eastAsiaTheme="minorHAnsi" w:hAnsiTheme="majorBidi" w:cstheme="majorBidi"/>
          <w:szCs w:val="24"/>
          <w:u w:val="single"/>
        </w:rPr>
        <w:t>3</w:t>
      </w:r>
      <w:r w:rsidR="009B3FCD" w:rsidRPr="00CE613C">
        <w:rPr>
          <w:rFonts w:asciiTheme="majorBidi" w:eastAsiaTheme="minorHAnsi" w:hAnsiTheme="majorBidi" w:cstheme="majorBidi"/>
          <w:szCs w:val="24"/>
          <w:u w:val="single"/>
        </w:rPr>
        <w:t>0</w:t>
      </w:r>
      <w:r w:rsidRPr="00CE613C">
        <w:rPr>
          <w:rFonts w:asciiTheme="majorBidi" w:eastAsiaTheme="minorHAnsi" w:hAnsiTheme="majorBidi" w:cstheme="majorBidi"/>
          <w:szCs w:val="24"/>
          <w:u w:val="single"/>
        </w:rPr>
        <w:t>%</w:t>
      </w:r>
    </w:p>
    <w:p w14:paraId="0691E8EF" w14:textId="34F4B75F" w:rsidR="000E00B7" w:rsidRPr="00CE613C" w:rsidRDefault="000E00B7"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Total Grade</w:t>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009B3FCD"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100%</w:t>
      </w:r>
    </w:p>
    <w:p w14:paraId="144B2A97" w14:textId="22AD9CDA" w:rsidR="000E00B7" w:rsidRPr="00CE613C" w:rsidRDefault="000E00B7" w:rsidP="000E00B7">
      <w:pPr>
        <w:spacing w:after="0"/>
        <w:ind w:left="720"/>
        <w:contextualSpacing/>
        <w:jc w:val="both"/>
        <w:rPr>
          <w:rFonts w:asciiTheme="majorBidi" w:eastAsiaTheme="minorHAnsi" w:hAnsiTheme="majorBidi" w:cstheme="majorBidi"/>
          <w:szCs w:val="24"/>
        </w:rPr>
      </w:pPr>
    </w:p>
    <w:p w14:paraId="0475531B" w14:textId="3A14B9C1" w:rsidR="000E00B7" w:rsidRPr="00CE613C" w:rsidRDefault="000E00B7" w:rsidP="000E00B7">
      <w:pPr>
        <w:spacing w:after="0"/>
        <w:ind w:left="720" w:hanging="720"/>
        <w:contextualSpacing/>
        <w:jc w:val="both"/>
        <w:rPr>
          <w:rFonts w:asciiTheme="majorBidi" w:eastAsiaTheme="minorHAnsi" w:hAnsiTheme="majorBidi" w:cstheme="majorBidi"/>
          <w:b/>
          <w:bCs/>
          <w:smallCaps/>
          <w:szCs w:val="24"/>
        </w:rPr>
      </w:pPr>
      <w:r w:rsidRPr="00CE613C">
        <w:rPr>
          <w:rFonts w:asciiTheme="majorBidi" w:eastAsiaTheme="minorHAnsi" w:hAnsiTheme="majorBidi" w:cstheme="majorBidi"/>
          <w:b/>
          <w:bCs/>
          <w:smallCaps/>
          <w:szCs w:val="24"/>
        </w:rPr>
        <w:t>Graduate Grading Breakdown</w:t>
      </w:r>
    </w:p>
    <w:p w14:paraId="2401D4E7" w14:textId="26293890" w:rsidR="000E00B7" w:rsidRPr="00CE613C" w:rsidRDefault="000E00B7"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 xml:space="preserve">In-Class Activities </w:t>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009B3FCD"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15%</w:t>
      </w:r>
    </w:p>
    <w:p w14:paraId="75516E31" w14:textId="499DA114" w:rsidR="000E00B7" w:rsidRPr="00CE613C" w:rsidRDefault="009B3FCD"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 xml:space="preserve">Three </w:t>
      </w:r>
      <w:r w:rsidR="000E00B7" w:rsidRPr="00CE613C">
        <w:rPr>
          <w:rFonts w:asciiTheme="majorBidi" w:eastAsiaTheme="minorHAnsi" w:hAnsiTheme="majorBidi" w:cstheme="majorBidi"/>
          <w:szCs w:val="24"/>
        </w:rPr>
        <w:t xml:space="preserve">Reading </w:t>
      </w:r>
      <w:r w:rsidRPr="00CE613C">
        <w:rPr>
          <w:rFonts w:asciiTheme="majorBidi" w:eastAsiaTheme="minorHAnsi" w:hAnsiTheme="majorBidi" w:cstheme="majorBidi"/>
          <w:szCs w:val="24"/>
        </w:rPr>
        <w:t>Reviews</w:t>
      </w:r>
      <w:r w:rsidR="000E00B7" w:rsidRPr="00CE613C">
        <w:rPr>
          <w:rFonts w:asciiTheme="majorBidi" w:eastAsiaTheme="minorHAnsi" w:hAnsiTheme="majorBidi" w:cstheme="majorBidi"/>
          <w:szCs w:val="24"/>
        </w:rPr>
        <w:t xml:space="preserve"> </w:t>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00CE613C" w:rsidRPr="00CE613C">
        <w:rPr>
          <w:rFonts w:asciiTheme="majorBidi" w:eastAsiaTheme="minorHAnsi" w:hAnsiTheme="majorBidi" w:cstheme="majorBidi"/>
          <w:szCs w:val="24"/>
        </w:rPr>
        <w:t>15</w:t>
      </w:r>
      <w:r w:rsidR="000E00B7" w:rsidRPr="00CE613C">
        <w:rPr>
          <w:rFonts w:asciiTheme="majorBidi" w:eastAsiaTheme="minorHAnsi" w:hAnsiTheme="majorBidi" w:cstheme="majorBidi"/>
          <w:szCs w:val="24"/>
        </w:rPr>
        <w:t>%</w:t>
      </w:r>
    </w:p>
    <w:p w14:paraId="418D2262" w14:textId="63AA7223" w:rsidR="007A7200" w:rsidRPr="00CE613C" w:rsidRDefault="007A7200"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Site Presentation</w:t>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r>
      <w:r w:rsidR="009B3FCD" w:rsidRPr="00CE613C">
        <w:rPr>
          <w:rFonts w:asciiTheme="majorBidi" w:eastAsiaTheme="minorHAnsi" w:hAnsiTheme="majorBidi" w:cstheme="majorBidi"/>
          <w:szCs w:val="24"/>
        </w:rPr>
        <w:tab/>
      </w:r>
      <w:r w:rsidR="00CE613C" w:rsidRPr="00CE613C">
        <w:rPr>
          <w:rFonts w:asciiTheme="majorBidi" w:eastAsiaTheme="minorHAnsi" w:hAnsiTheme="majorBidi" w:cstheme="majorBidi"/>
          <w:szCs w:val="24"/>
        </w:rPr>
        <w:t>10</w:t>
      </w:r>
      <w:r w:rsidRPr="00CE613C">
        <w:rPr>
          <w:rFonts w:asciiTheme="majorBidi" w:eastAsiaTheme="minorHAnsi" w:hAnsiTheme="majorBidi" w:cstheme="majorBidi"/>
          <w:szCs w:val="24"/>
        </w:rPr>
        <w:t>%</w:t>
      </w:r>
    </w:p>
    <w:p w14:paraId="4FFD4A8E" w14:textId="5756BE61" w:rsidR="000E00B7" w:rsidRPr="00CE613C" w:rsidRDefault="007A7200"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 xml:space="preserve">A Day </w:t>
      </w:r>
      <w:r w:rsidR="009B3FCD" w:rsidRPr="00CE613C">
        <w:rPr>
          <w:rFonts w:asciiTheme="majorBidi" w:eastAsiaTheme="minorHAnsi" w:hAnsiTheme="majorBidi" w:cstheme="majorBidi"/>
          <w:szCs w:val="24"/>
        </w:rPr>
        <w:t xml:space="preserve">(and Night) </w:t>
      </w:r>
      <w:r w:rsidRPr="00CE613C">
        <w:rPr>
          <w:rFonts w:asciiTheme="majorBidi" w:eastAsiaTheme="minorHAnsi" w:hAnsiTheme="majorBidi" w:cstheme="majorBidi"/>
          <w:szCs w:val="24"/>
        </w:rPr>
        <w:t>in the Life of a Ba</w:t>
      </w:r>
      <w:r w:rsidR="000E00B7" w:rsidRPr="00CE613C">
        <w:rPr>
          <w:rFonts w:asciiTheme="majorBidi" w:eastAsiaTheme="minorHAnsi" w:hAnsiTheme="majorBidi" w:cstheme="majorBidi"/>
          <w:szCs w:val="24"/>
        </w:rPr>
        <w:tab/>
      </w:r>
      <w:r w:rsidR="009B3FCD" w:rsidRPr="00CE613C">
        <w:rPr>
          <w:rFonts w:asciiTheme="majorBidi" w:eastAsiaTheme="minorHAnsi" w:hAnsiTheme="majorBidi" w:cstheme="majorBidi"/>
          <w:szCs w:val="24"/>
        </w:rPr>
        <w:t>15</w:t>
      </w:r>
      <w:r w:rsidR="000E00B7" w:rsidRPr="00CE613C">
        <w:rPr>
          <w:rFonts w:asciiTheme="majorBidi" w:eastAsiaTheme="minorHAnsi" w:hAnsiTheme="majorBidi" w:cstheme="majorBidi"/>
          <w:szCs w:val="24"/>
        </w:rPr>
        <w:t>%</w:t>
      </w:r>
    </w:p>
    <w:p w14:paraId="4322140F" w14:textId="63697DB2" w:rsidR="000E00B7" w:rsidRPr="00CE613C" w:rsidRDefault="009B3FCD" w:rsidP="000E00B7">
      <w:pPr>
        <w:spacing w:after="0"/>
        <w:ind w:left="720"/>
        <w:contextualSpacing/>
        <w:jc w:val="both"/>
        <w:rPr>
          <w:rFonts w:asciiTheme="majorBidi" w:eastAsiaTheme="minorHAnsi" w:hAnsiTheme="majorBidi" w:cstheme="majorBidi"/>
          <w:szCs w:val="24"/>
        </w:rPr>
      </w:pPr>
      <w:r w:rsidRPr="00CE613C">
        <w:rPr>
          <w:rFonts w:asciiTheme="majorBidi" w:eastAsiaTheme="minorHAnsi" w:hAnsiTheme="majorBidi" w:cstheme="majorBidi"/>
          <w:szCs w:val="24"/>
        </w:rPr>
        <w:t>The Life of a Ghost</w:t>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r w:rsidRPr="00CE613C">
        <w:rPr>
          <w:rFonts w:asciiTheme="majorBidi" w:eastAsiaTheme="minorHAnsi" w:hAnsiTheme="majorBidi" w:cstheme="majorBidi"/>
          <w:szCs w:val="24"/>
        </w:rPr>
        <w:tab/>
        <w:t>15</w:t>
      </w:r>
      <w:r w:rsidR="000E00B7" w:rsidRPr="00CE613C">
        <w:rPr>
          <w:rFonts w:asciiTheme="majorBidi" w:eastAsiaTheme="minorHAnsi" w:hAnsiTheme="majorBidi" w:cstheme="majorBidi"/>
          <w:szCs w:val="24"/>
        </w:rPr>
        <w:t>%</w:t>
      </w:r>
      <w:r w:rsidR="000E00B7" w:rsidRPr="00CE613C">
        <w:rPr>
          <w:rFonts w:asciiTheme="majorBidi" w:eastAsiaTheme="minorHAnsi" w:hAnsiTheme="majorBidi" w:cstheme="majorBidi"/>
          <w:szCs w:val="24"/>
        </w:rPr>
        <w:tab/>
      </w:r>
      <w:r w:rsidR="000E00B7" w:rsidRPr="00CE613C">
        <w:rPr>
          <w:rFonts w:asciiTheme="majorBidi" w:eastAsiaTheme="minorHAnsi" w:hAnsiTheme="majorBidi" w:cstheme="majorBidi"/>
          <w:szCs w:val="24"/>
        </w:rPr>
        <w:tab/>
      </w:r>
    </w:p>
    <w:p w14:paraId="0D686190" w14:textId="526A2E75" w:rsidR="000E00B7" w:rsidRPr="007D0BB2" w:rsidRDefault="007A7200" w:rsidP="000E00B7">
      <w:pPr>
        <w:spacing w:after="0"/>
        <w:ind w:left="720"/>
        <w:contextualSpacing/>
        <w:jc w:val="both"/>
        <w:rPr>
          <w:rFonts w:asciiTheme="majorBidi" w:eastAsiaTheme="minorHAnsi" w:hAnsiTheme="majorBidi" w:cstheme="majorBidi"/>
          <w:szCs w:val="24"/>
          <w:u w:val="single"/>
        </w:rPr>
      </w:pPr>
      <w:r w:rsidRPr="00CE613C">
        <w:rPr>
          <w:rFonts w:asciiTheme="majorBidi" w:eastAsiaTheme="minorHAnsi" w:hAnsiTheme="majorBidi" w:cstheme="majorBidi"/>
          <w:szCs w:val="24"/>
          <w:u w:val="single"/>
        </w:rPr>
        <w:t>Final Paper</w:t>
      </w:r>
      <w:r w:rsidR="000E00B7" w:rsidRPr="00CE613C">
        <w:rPr>
          <w:rFonts w:asciiTheme="majorBidi" w:eastAsiaTheme="minorHAnsi" w:hAnsiTheme="majorBidi" w:cstheme="majorBidi"/>
          <w:szCs w:val="24"/>
          <w:u w:val="single"/>
        </w:rPr>
        <w:tab/>
      </w:r>
      <w:r w:rsidR="000E00B7" w:rsidRPr="00CE613C">
        <w:rPr>
          <w:rFonts w:asciiTheme="majorBidi" w:eastAsiaTheme="minorHAnsi" w:hAnsiTheme="majorBidi" w:cstheme="majorBidi"/>
          <w:szCs w:val="24"/>
          <w:u w:val="single"/>
        </w:rPr>
        <w:tab/>
      </w:r>
      <w:r w:rsidR="000E00B7" w:rsidRPr="00CE613C">
        <w:rPr>
          <w:rFonts w:asciiTheme="majorBidi" w:eastAsiaTheme="minorHAnsi" w:hAnsiTheme="majorBidi" w:cstheme="majorBidi"/>
          <w:szCs w:val="24"/>
          <w:u w:val="single"/>
        </w:rPr>
        <w:tab/>
      </w:r>
      <w:r w:rsidR="000E00B7" w:rsidRPr="00CE613C">
        <w:rPr>
          <w:rFonts w:asciiTheme="majorBidi" w:eastAsiaTheme="minorHAnsi" w:hAnsiTheme="majorBidi" w:cstheme="majorBidi"/>
          <w:szCs w:val="24"/>
          <w:u w:val="single"/>
        </w:rPr>
        <w:tab/>
      </w:r>
      <w:r w:rsidR="009B3FCD" w:rsidRPr="00CE613C">
        <w:rPr>
          <w:rFonts w:asciiTheme="majorBidi" w:eastAsiaTheme="minorHAnsi" w:hAnsiTheme="majorBidi" w:cstheme="majorBidi"/>
          <w:szCs w:val="24"/>
          <w:u w:val="single"/>
        </w:rPr>
        <w:tab/>
      </w:r>
      <w:r w:rsidR="00CE613C" w:rsidRPr="00CE613C">
        <w:rPr>
          <w:rFonts w:asciiTheme="majorBidi" w:eastAsiaTheme="minorHAnsi" w:hAnsiTheme="majorBidi" w:cstheme="majorBidi"/>
          <w:szCs w:val="24"/>
          <w:u w:val="single"/>
        </w:rPr>
        <w:t>3</w:t>
      </w:r>
      <w:r w:rsidR="000E00B7" w:rsidRPr="00CE613C">
        <w:rPr>
          <w:rFonts w:asciiTheme="majorBidi" w:eastAsiaTheme="minorHAnsi" w:hAnsiTheme="majorBidi" w:cstheme="majorBidi"/>
          <w:szCs w:val="24"/>
          <w:u w:val="single"/>
        </w:rPr>
        <w:t>0%</w:t>
      </w:r>
    </w:p>
    <w:p w14:paraId="75E95ED9" w14:textId="1748431F" w:rsidR="007C3296" w:rsidRPr="00E542E6" w:rsidRDefault="000E00B7" w:rsidP="00E542E6">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Total Grade</w:t>
      </w:r>
      <w:r>
        <w:rPr>
          <w:rFonts w:asciiTheme="majorBidi" w:eastAsiaTheme="minorHAnsi" w:hAnsiTheme="majorBidi" w:cstheme="majorBidi"/>
          <w:szCs w:val="24"/>
        </w:rPr>
        <w:tab/>
      </w:r>
      <w:r>
        <w:rPr>
          <w:rFonts w:asciiTheme="majorBidi" w:eastAsiaTheme="minorHAnsi" w:hAnsiTheme="majorBidi" w:cstheme="majorBidi"/>
          <w:szCs w:val="24"/>
        </w:rPr>
        <w:tab/>
      </w:r>
      <w:r>
        <w:rPr>
          <w:rFonts w:asciiTheme="majorBidi" w:eastAsiaTheme="minorHAnsi" w:hAnsiTheme="majorBidi" w:cstheme="majorBidi"/>
          <w:szCs w:val="24"/>
        </w:rPr>
        <w:tab/>
      </w:r>
      <w:r>
        <w:rPr>
          <w:rFonts w:asciiTheme="majorBidi" w:eastAsiaTheme="minorHAnsi" w:hAnsiTheme="majorBidi" w:cstheme="majorBidi"/>
          <w:szCs w:val="24"/>
        </w:rPr>
        <w:tab/>
        <w:t>100%</w:t>
      </w:r>
    </w:p>
    <w:p w14:paraId="7CC17BAC" w14:textId="22FD7A08" w:rsidR="00B362A8" w:rsidRDefault="00B362A8" w:rsidP="00B45351">
      <w:pPr>
        <w:spacing w:after="0"/>
        <w:rPr>
          <w:b/>
          <w:bCs/>
          <w:smallCaps/>
        </w:rPr>
      </w:pPr>
      <w:r>
        <w:rPr>
          <w:b/>
          <w:bCs/>
          <w:smallCaps/>
        </w:rPr>
        <w:lastRenderedPageBreak/>
        <w:t>In-Class Activities (All Students)</w:t>
      </w:r>
    </w:p>
    <w:p w14:paraId="713F36F5" w14:textId="49466725" w:rsidR="00B362A8" w:rsidRDefault="00B362A8" w:rsidP="00B45351">
      <w:pPr>
        <w:spacing w:after="0"/>
      </w:pPr>
      <w:r>
        <w:rPr>
          <w:smallCaps/>
        </w:rPr>
        <w:t>W</w:t>
      </w:r>
      <w:r>
        <w:t>e will often do an activity in class which I will collect. Fyi, while it is possible to make these up, the make-up version is usually more difficult than the version done in class.</w:t>
      </w:r>
    </w:p>
    <w:p w14:paraId="2CEFC99D" w14:textId="06165758" w:rsidR="00B362A8" w:rsidRDefault="00B362A8" w:rsidP="00B45351">
      <w:pPr>
        <w:spacing w:after="0"/>
      </w:pPr>
    </w:p>
    <w:p w14:paraId="22216D23" w14:textId="404AE0AB" w:rsidR="00B362A8" w:rsidRPr="00B362A8" w:rsidRDefault="00B362A8" w:rsidP="00B45351">
      <w:pPr>
        <w:spacing w:after="0"/>
        <w:rPr>
          <w:b/>
          <w:bCs/>
          <w:smallCaps/>
        </w:rPr>
      </w:pPr>
      <w:r w:rsidRPr="00B362A8">
        <w:rPr>
          <w:b/>
          <w:bCs/>
          <w:smallCaps/>
        </w:rPr>
        <w:t>Reading Questions (Undergraduates)</w:t>
      </w:r>
    </w:p>
    <w:p w14:paraId="79640518" w14:textId="6F7DAE61" w:rsidR="00A87ED4" w:rsidRDefault="00BA3213" w:rsidP="00A87ED4">
      <w:pPr>
        <w:spacing w:after="0"/>
        <w:jc w:val="both"/>
      </w:pPr>
      <w:r w:rsidRPr="00BA3213">
        <w:t>As shown on the syllabus, a</w:t>
      </w:r>
      <w:r w:rsidR="00B362A8" w:rsidRPr="00BA3213">
        <w:t xml:space="preserve">ssigned readings are </w:t>
      </w:r>
      <w:r w:rsidR="00A87ED4" w:rsidRPr="00BA3213">
        <w:t>usually</w:t>
      </w:r>
      <w:r w:rsidR="00B362A8" w:rsidRPr="00BA3213">
        <w:t xml:space="preserve"> </w:t>
      </w:r>
      <w:r w:rsidR="00A87ED4" w:rsidRPr="00BA3213">
        <w:t>accompanied by a few reading questions to help your comprehension</w:t>
      </w:r>
      <w:r w:rsidR="00A87ED4">
        <w:t xml:space="preserve"> and prepare you for class discussion.  Please turn these in on Canvas. </w:t>
      </w:r>
      <w:r>
        <w:t xml:space="preserve">There is </w:t>
      </w:r>
      <w:r w:rsidRPr="00BA3213">
        <w:rPr>
          <w:b/>
          <w:bCs/>
        </w:rPr>
        <w:t>one free drop</w:t>
      </w:r>
      <w:r>
        <w:t xml:space="preserve"> on these.</w:t>
      </w:r>
    </w:p>
    <w:p w14:paraId="1399DF22" w14:textId="58C81CD4" w:rsidR="00B362A8" w:rsidRDefault="00A87ED4" w:rsidP="00A87ED4">
      <w:pPr>
        <w:spacing w:after="0"/>
        <w:jc w:val="both"/>
      </w:pPr>
      <w:r w:rsidRPr="00A87ED4">
        <w:rPr>
          <w:b/>
          <w:bCs/>
        </w:rPr>
        <w:t>Pro Tip</w:t>
      </w:r>
      <w:r>
        <w:t>: Save a copy to your device and bring it to class with you! This will help you out during class discussion and activities.</w:t>
      </w:r>
    </w:p>
    <w:p w14:paraId="1006E828" w14:textId="7404F2A9" w:rsidR="00EF5252" w:rsidRDefault="00EF5252" w:rsidP="00A87ED4">
      <w:pPr>
        <w:spacing w:after="0"/>
        <w:jc w:val="both"/>
      </w:pPr>
    </w:p>
    <w:p w14:paraId="7CDE3D12" w14:textId="0E9B58EE" w:rsidR="00EF5252" w:rsidRDefault="00EF5252" w:rsidP="00A87ED4">
      <w:pPr>
        <w:spacing w:after="0"/>
        <w:jc w:val="both"/>
        <w:rPr>
          <w:b/>
          <w:bCs/>
          <w:smallCaps/>
        </w:rPr>
      </w:pPr>
      <w:r w:rsidRPr="00EF5252">
        <w:rPr>
          <w:b/>
          <w:bCs/>
          <w:smallCaps/>
        </w:rPr>
        <w:t xml:space="preserve">A Day (and Night) in the Life of a Ba (All Students) </w:t>
      </w:r>
      <w:r>
        <w:rPr>
          <w:b/>
          <w:bCs/>
          <w:smallCaps/>
        </w:rPr>
        <w:t xml:space="preserve">- </w:t>
      </w:r>
      <w:r w:rsidRPr="00EF5252">
        <w:rPr>
          <w:b/>
          <w:bCs/>
          <w:smallCaps/>
        </w:rPr>
        <w:t>due 26 Apr</w:t>
      </w:r>
    </w:p>
    <w:p w14:paraId="78AF4E5E" w14:textId="021EA510" w:rsidR="00EF5252" w:rsidRDefault="00EF5252" w:rsidP="00A87ED4">
      <w:pPr>
        <w:spacing w:after="0"/>
        <w:jc w:val="both"/>
      </w:pPr>
      <w:r>
        <w:rPr>
          <w:smallCaps/>
        </w:rPr>
        <w:t>W</w:t>
      </w:r>
      <w:r>
        <w:t>ithin the Egyptian worldview</w:t>
      </w:r>
      <w:r w:rsidR="009F040C">
        <w:t xml:space="preserve"> as we’ve discussed it</w:t>
      </w:r>
      <w:r>
        <w:t xml:space="preserve">, what would it be like to be a </w:t>
      </w:r>
      <w:r w:rsidRPr="00EF5252">
        <w:rPr>
          <w:i/>
          <w:iCs/>
        </w:rPr>
        <w:t>ba</w:t>
      </w:r>
      <w:r>
        <w:t xml:space="preserve">? Write me a story of at least </w:t>
      </w:r>
      <w:r w:rsidR="008D45E3">
        <w:t>850</w:t>
      </w:r>
      <w:r>
        <w:t xml:space="preserve"> words describing a day and night in the life of a ba. In your story, make sure you tell me…</w:t>
      </w:r>
    </w:p>
    <w:p w14:paraId="3CC77F5D" w14:textId="425AA1D7" w:rsidR="00EF5252" w:rsidRDefault="00EF5252" w:rsidP="00EF5252">
      <w:pPr>
        <w:pStyle w:val="ListParagraph"/>
        <w:numPr>
          <w:ilvl w:val="0"/>
          <w:numId w:val="10"/>
        </w:numPr>
        <w:spacing w:after="0"/>
        <w:jc w:val="both"/>
      </w:pPr>
      <w:r>
        <w:t>Who were you when you were alive?</w:t>
      </w:r>
    </w:p>
    <w:p w14:paraId="29FF935E" w14:textId="4105F1E9" w:rsidR="00EF5252" w:rsidRDefault="00EF5252" w:rsidP="00EF5252">
      <w:pPr>
        <w:pStyle w:val="ListParagraph"/>
        <w:numPr>
          <w:ilvl w:val="0"/>
          <w:numId w:val="10"/>
        </w:numPr>
        <w:spacing w:after="0"/>
        <w:jc w:val="both"/>
      </w:pPr>
      <w:r>
        <w:t>How were you buried?</w:t>
      </w:r>
      <w:r w:rsidR="009F040C">
        <w:t xml:space="preserve"> How has that impacted your afterlife?</w:t>
      </w:r>
    </w:p>
    <w:p w14:paraId="22A56D1D" w14:textId="7119EAB7" w:rsidR="00EF5252" w:rsidRDefault="00EF5252" w:rsidP="00EF5252">
      <w:pPr>
        <w:pStyle w:val="ListParagraph"/>
        <w:numPr>
          <w:ilvl w:val="0"/>
          <w:numId w:val="10"/>
        </w:numPr>
        <w:spacing w:after="0"/>
        <w:jc w:val="both"/>
      </w:pPr>
      <w:r>
        <w:t xml:space="preserve">As a </w:t>
      </w:r>
      <w:r w:rsidRPr="009F040C">
        <w:rPr>
          <w:i/>
          <w:iCs/>
        </w:rPr>
        <w:t>ba</w:t>
      </w:r>
      <w:r>
        <w:t>, what happens to you at night? What do you do?</w:t>
      </w:r>
    </w:p>
    <w:p w14:paraId="0A4E6DF0" w14:textId="1C1E51C9" w:rsidR="009F040C" w:rsidRDefault="009F040C" w:rsidP="00EF5252">
      <w:pPr>
        <w:pStyle w:val="ListParagraph"/>
        <w:numPr>
          <w:ilvl w:val="0"/>
          <w:numId w:val="10"/>
        </w:numPr>
        <w:spacing w:after="0"/>
        <w:jc w:val="both"/>
      </w:pPr>
      <w:r>
        <w:t>What do you do and experience during the day?</w:t>
      </w:r>
    </w:p>
    <w:p w14:paraId="73ADF14D" w14:textId="77777777" w:rsidR="009F040C" w:rsidRDefault="009F040C" w:rsidP="009F040C">
      <w:pPr>
        <w:pStyle w:val="ListParagraph"/>
        <w:spacing w:after="0"/>
        <w:ind w:left="0"/>
        <w:jc w:val="both"/>
      </w:pPr>
      <w:r>
        <w:t xml:space="preserve">You don’t need to tell me these things in any particular order, as long as you include them all. </w:t>
      </w:r>
    </w:p>
    <w:p w14:paraId="52345333" w14:textId="1B353393" w:rsidR="009F040C" w:rsidRPr="00EF5252" w:rsidRDefault="009F040C" w:rsidP="009F040C">
      <w:pPr>
        <w:pStyle w:val="ListParagraph"/>
        <w:spacing w:after="0"/>
        <w:ind w:left="0"/>
        <w:jc w:val="both"/>
      </w:pPr>
      <w:r>
        <w:t xml:space="preserve">You may use first or third person narration, dialogue, poetry, prose, whatever seems good to you, in the construction of your story. But </w:t>
      </w:r>
      <w:r w:rsidRPr="009F040C">
        <w:rPr>
          <w:b/>
          <w:bCs/>
        </w:rPr>
        <w:t>please do check your spelling, grammar, and clarity</w:t>
      </w:r>
      <w:r>
        <w:t>. I can’t give you credit for something if I can’t understand what you’re saying.</w:t>
      </w:r>
    </w:p>
    <w:p w14:paraId="6A6C73DB" w14:textId="5DA5759E" w:rsidR="00EF5252" w:rsidRDefault="00EF5252" w:rsidP="00A87ED4">
      <w:pPr>
        <w:spacing w:after="0"/>
        <w:jc w:val="both"/>
      </w:pPr>
    </w:p>
    <w:p w14:paraId="2F9E1F2B" w14:textId="08BB2587" w:rsidR="00EF5252" w:rsidRPr="00EF5252" w:rsidRDefault="00EF5252" w:rsidP="00A87ED4">
      <w:pPr>
        <w:spacing w:after="0"/>
        <w:jc w:val="both"/>
        <w:rPr>
          <w:b/>
          <w:bCs/>
          <w:smallCaps/>
        </w:rPr>
      </w:pPr>
      <w:r w:rsidRPr="00EF5252">
        <w:rPr>
          <w:b/>
          <w:bCs/>
          <w:smallCaps/>
        </w:rPr>
        <w:t xml:space="preserve">The Life of a Ghost (All Students) </w:t>
      </w:r>
      <w:r>
        <w:rPr>
          <w:b/>
          <w:bCs/>
          <w:smallCaps/>
        </w:rPr>
        <w:t xml:space="preserve">- </w:t>
      </w:r>
      <w:r w:rsidRPr="00EF5252">
        <w:rPr>
          <w:b/>
          <w:bCs/>
          <w:smallCaps/>
        </w:rPr>
        <w:t>due 10 May</w:t>
      </w:r>
    </w:p>
    <w:p w14:paraId="6B619D25" w14:textId="4E23AA3E" w:rsidR="009F040C" w:rsidRDefault="009F040C" w:rsidP="009F040C">
      <w:pPr>
        <w:spacing w:after="0"/>
        <w:jc w:val="both"/>
      </w:pPr>
      <w:r>
        <w:rPr>
          <w:smallCaps/>
        </w:rPr>
        <w:t>W</w:t>
      </w:r>
      <w:r>
        <w:t xml:space="preserve">ithin the Mesopotamian worldview as we’ve discussed it, what would it be like to be a </w:t>
      </w:r>
      <w:r w:rsidRPr="009F040C">
        <w:t>ghost</w:t>
      </w:r>
      <w:r>
        <w:t xml:space="preserve">? Write me a story of at least </w:t>
      </w:r>
      <w:r w:rsidR="008D45E3">
        <w:t>850</w:t>
      </w:r>
      <w:r>
        <w:t xml:space="preserve"> words describing a the life of a ghost. In your story, make sure you tell me…</w:t>
      </w:r>
    </w:p>
    <w:p w14:paraId="1AD67733" w14:textId="77777777" w:rsidR="009F040C" w:rsidRDefault="009F040C" w:rsidP="009F040C">
      <w:pPr>
        <w:pStyle w:val="ListParagraph"/>
        <w:numPr>
          <w:ilvl w:val="0"/>
          <w:numId w:val="10"/>
        </w:numPr>
        <w:spacing w:after="0"/>
        <w:jc w:val="both"/>
      </w:pPr>
      <w:r>
        <w:t>Who were you when you were alive?</w:t>
      </w:r>
    </w:p>
    <w:p w14:paraId="30A7A297" w14:textId="6023C3FD" w:rsidR="009F040C" w:rsidRDefault="009F040C" w:rsidP="009F040C">
      <w:pPr>
        <w:pStyle w:val="ListParagraph"/>
        <w:numPr>
          <w:ilvl w:val="0"/>
          <w:numId w:val="10"/>
        </w:numPr>
        <w:spacing w:after="0"/>
        <w:jc w:val="both"/>
      </w:pPr>
      <w:r>
        <w:t xml:space="preserve">How were you originally buried? </w:t>
      </w:r>
      <w:r w:rsidR="008D45E3">
        <w:t>As a consequence of that, what was your initial afterlife experience like</w:t>
      </w:r>
      <w:r>
        <w:t>?</w:t>
      </w:r>
    </w:p>
    <w:p w14:paraId="2A154423" w14:textId="54716EC4" w:rsidR="009F040C" w:rsidRDefault="009F040C" w:rsidP="009F040C">
      <w:pPr>
        <w:pStyle w:val="ListParagraph"/>
        <w:numPr>
          <w:ilvl w:val="0"/>
          <w:numId w:val="10"/>
        </w:numPr>
        <w:spacing w:after="0"/>
        <w:jc w:val="both"/>
      </w:pPr>
      <w:r>
        <w:t>Why did you become a ghost?</w:t>
      </w:r>
      <w:r w:rsidR="008D45E3">
        <w:t xml:space="preserve"> (Make sure you are thinking about why Mesopotamians believed you might become a ghost.)</w:t>
      </w:r>
    </w:p>
    <w:p w14:paraId="0CE3BEEC" w14:textId="19914B9C" w:rsidR="009F040C" w:rsidRDefault="009F040C" w:rsidP="009F040C">
      <w:pPr>
        <w:pStyle w:val="ListParagraph"/>
        <w:numPr>
          <w:ilvl w:val="0"/>
          <w:numId w:val="10"/>
        </w:numPr>
        <w:spacing w:after="0"/>
        <w:jc w:val="both"/>
      </w:pPr>
      <w:r>
        <w:t>What have you been up to since becoming a ghost and how have people responded to that?</w:t>
      </w:r>
    </w:p>
    <w:p w14:paraId="18200CCC" w14:textId="77777777" w:rsidR="009F040C" w:rsidRDefault="009F040C" w:rsidP="009F040C">
      <w:pPr>
        <w:pStyle w:val="ListParagraph"/>
        <w:spacing w:after="0"/>
        <w:ind w:left="0"/>
        <w:jc w:val="both"/>
      </w:pPr>
      <w:r>
        <w:t xml:space="preserve">You don’t need to tell me these things in any particular order, as long as you include them all. </w:t>
      </w:r>
    </w:p>
    <w:p w14:paraId="2FA3A348" w14:textId="4BA46D85" w:rsidR="00BA3213" w:rsidRPr="00D53F6B" w:rsidRDefault="009F040C" w:rsidP="00D53F6B">
      <w:pPr>
        <w:spacing w:after="0"/>
        <w:jc w:val="both"/>
      </w:pPr>
      <w:r>
        <w:t xml:space="preserve">You may use first or third person narration, dialogue, poetry, prose, whatever seems good to you, in the construction of your story. But </w:t>
      </w:r>
      <w:r w:rsidRPr="009F040C">
        <w:rPr>
          <w:b/>
          <w:bCs/>
        </w:rPr>
        <w:t>please do check your spelling, grammar, and clarity</w:t>
      </w:r>
      <w:r>
        <w:t>. I can’t give you credit for something if I can’t understand what you’re saying.</w:t>
      </w:r>
    </w:p>
    <w:p w14:paraId="474EEB82" w14:textId="77777777" w:rsidR="00BA3213" w:rsidRDefault="00BA3213" w:rsidP="00A87ED4">
      <w:pPr>
        <w:spacing w:after="0"/>
        <w:jc w:val="both"/>
        <w:rPr>
          <w:b/>
          <w:bCs/>
          <w:smallCaps/>
        </w:rPr>
      </w:pPr>
    </w:p>
    <w:p w14:paraId="59770F9D" w14:textId="4F69DAEB" w:rsidR="00BA3213" w:rsidRDefault="00BA3213" w:rsidP="00A87ED4">
      <w:pPr>
        <w:spacing w:after="0"/>
        <w:jc w:val="both"/>
        <w:rPr>
          <w:b/>
          <w:bCs/>
          <w:smallCaps/>
        </w:rPr>
      </w:pPr>
      <w:r>
        <w:rPr>
          <w:b/>
          <w:bCs/>
          <w:smallCaps/>
        </w:rPr>
        <w:t>Burial Plan Presentation</w:t>
      </w:r>
      <w:r w:rsidR="00E542E6">
        <w:rPr>
          <w:b/>
          <w:bCs/>
          <w:smallCaps/>
        </w:rPr>
        <w:t xml:space="preserve"> &amp; Reflection</w:t>
      </w:r>
      <w:r>
        <w:rPr>
          <w:b/>
          <w:bCs/>
          <w:smallCaps/>
        </w:rPr>
        <w:t xml:space="preserve"> (Undergraduates) – due 24 </w:t>
      </w:r>
      <w:r w:rsidR="003739D3">
        <w:rPr>
          <w:b/>
          <w:bCs/>
          <w:smallCaps/>
        </w:rPr>
        <w:t>May,</w:t>
      </w:r>
      <w:r>
        <w:rPr>
          <w:b/>
          <w:bCs/>
          <w:smallCaps/>
        </w:rPr>
        <w:t xml:space="preserve"> 31 May, or 8 june</w:t>
      </w:r>
    </w:p>
    <w:p w14:paraId="0F0BB3C1" w14:textId="29B80623" w:rsidR="00D51F5E" w:rsidRDefault="00BA3213" w:rsidP="00A87ED4">
      <w:pPr>
        <w:spacing w:after="0"/>
        <w:jc w:val="both"/>
      </w:pPr>
      <w:r>
        <w:rPr>
          <w:smallCaps/>
        </w:rPr>
        <w:t>F</w:t>
      </w:r>
      <w:r>
        <w:t xml:space="preserve">or your final project, you will </w:t>
      </w:r>
      <w:r w:rsidR="00D51F5E">
        <w:t xml:space="preserve">take on the role of an ancient burial salesperson. You have the perfect plan for a burial, and you are ready to convince your classmates (= your potential </w:t>
      </w:r>
      <w:r w:rsidR="00D51F5E">
        <w:lastRenderedPageBreak/>
        <w:t xml:space="preserve">customers) with a </w:t>
      </w:r>
      <w:r w:rsidR="001E2B55" w:rsidRPr="003739D3">
        <w:rPr>
          <w:u w:val="single"/>
        </w:rPr>
        <w:t xml:space="preserve">10-minute </w:t>
      </w:r>
      <w:r w:rsidR="00D51F5E" w:rsidRPr="003739D3">
        <w:rPr>
          <w:u w:val="single"/>
        </w:rPr>
        <w:t>sales presentation</w:t>
      </w:r>
      <w:r w:rsidR="00D51F5E">
        <w:t xml:space="preserve"> and some compelling visuals! </w:t>
      </w:r>
      <w:r w:rsidR="00D56AD6">
        <w:t>You will then turn in a short write-up to me (3-4 pages double spaced) reflecting on your choices.</w:t>
      </w:r>
    </w:p>
    <w:p w14:paraId="13D03EEA" w14:textId="370A5473" w:rsidR="00D56AD6" w:rsidRDefault="00D56AD6" w:rsidP="00A87ED4">
      <w:pPr>
        <w:spacing w:after="0"/>
        <w:jc w:val="both"/>
      </w:pPr>
    </w:p>
    <w:p w14:paraId="0427AB7A" w14:textId="790689CB" w:rsidR="003739D3" w:rsidRPr="00E542E6" w:rsidRDefault="00D56AD6" w:rsidP="00E542E6">
      <w:pPr>
        <w:spacing w:after="0"/>
        <w:jc w:val="both"/>
        <w:rPr>
          <w:b/>
          <w:bCs/>
        </w:rPr>
      </w:pPr>
      <w:r w:rsidRPr="00D56AD6">
        <w:rPr>
          <w:b/>
          <w:bCs/>
        </w:rPr>
        <w:t>Presentation</w:t>
      </w:r>
    </w:p>
    <w:p w14:paraId="3B6B0216" w14:textId="63BC79B2" w:rsidR="00BA3213" w:rsidRDefault="00D51F5E" w:rsidP="00A87ED4">
      <w:pPr>
        <w:spacing w:after="0"/>
        <w:jc w:val="both"/>
      </w:pPr>
      <w:r>
        <w:t xml:space="preserve">Using what you’ve learned in the course up to this point, design a burial. Where will it be? </w:t>
      </w:r>
      <w:r w:rsidR="001E2B55">
        <w:t xml:space="preserve">What will the tomb/grave/pyramid/etc. be made out of and how will it be shaped? Is this site for an individual burial, a family burial, or what? </w:t>
      </w:r>
      <w:r w:rsidR="00D56AD6">
        <w:t xml:space="preserve">Is it part of a larger cemetery, and if so, how does it fit into that larger picture? </w:t>
      </w:r>
      <w:r w:rsidR="001E2B55">
        <w:t>What art or artifacts will be part of the burial package? How will the body be handled? What, if any, funerary rituals will be involved? What is the benefit that the customer will get from each of these things?  Tell us all about</w:t>
      </w:r>
      <w:r w:rsidR="003739D3">
        <w:t xml:space="preserve"> it</w:t>
      </w:r>
      <w:r w:rsidR="001E2B55">
        <w:t xml:space="preserve">, using </w:t>
      </w:r>
      <w:r w:rsidR="001E2B55" w:rsidRPr="003739D3">
        <w:rPr>
          <w:u w:val="single"/>
        </w:rPr>
        <w:t>a slide presentation or a printed “brochure”</w:t>
      </w:r>
      <w:r w:rsidR="001E2B55">
        <w:t xml:space="preserve"> </w:t>
      </w:r>
      <w:r w:rsidR="003739D3">
        <w:t>(one copy for each classmate, please) to show us everything.</w:t>
      </w:r>
    </w:p>
    <w:p w14:paraId="32D31619" w14:textId="67038A42" w:rsidR="003739D3" w:rsidRDefault="003739D3" w:rsidP="00A87ED4">
      <w:pPr>
        <w:spacing w:after="0"/>
        <w:jc w:val="both"/>
      </w:pPr>
    </w:p>
    <w:p w14:paraId="0DDBEEC4" w14:textId="2DFD5209" w:rsidR="003739D3" w:rsidRDefault="003739D3" w:rsidP="00A87ED4">
      <w:pPr>
        <w:spacing w:after="0"/>
        <w:jc w:val="both"/>
      </w:pPr>
      <w:r w:rsidRPr="005E2C64">
        <w:rPr>
          <w:b/>
          <w:bCs/>
        </w:rPr>
        <w:t>Pro Tip</w:t>
      </w:r>
      <w:r>
        <w:t xml:space="preserve">: </w:t>
      </w:r>
      <w:r w:rsidR="005E2C64">
        <w:t>Pick one of the ancient worldviews regarding death and the afterlife that we’ve discussed this quarter, and design your burial so that you can justify most of the things that you include based on that worldview.</w:t>
      </w:r>
    </w:p>
    <w:p w14:paraId="6A40EA73" w14:textId="576F2D0B" w:rsidR="005E2C64" w:rsidRDefault="005E2C64" w:rsidP="00A87ED4">
      <w:pPr>
        <w:spacing w:after="0"/>
        <w:jc w:val="both"/>
      </w:pPr>
    </w:p>
    <w:p w14:paraId="5F1FF515" w14:textId="27B8D5B5" w:rsidR="005E2C64" w:rsidRDefault="005E2C64" w:rsidP="005E2C64">
      <w:pPr>
        <w:spacing w:after="0"/>
        <w:jc w:val="both"/>
      </w:pPr>
      <w:r>
        <w:t>Images for your presentation may be ones you created (in any medium) or appropriate ones from the readings or the internet.</w:t>
      </w:r>
    </w:p>
    <w:p w14:paraId="78EB57AB" w14:textId="778F2FEE" w:rsidR="00D56AD6" w:rsidRDefault="00D56AD6" w:rsidP="005E2C64">
      <w:pPr>
        <w:spacing w:after="0"/>
        <w:jc w:val="both"/>
      </w:pPr>
    </w:p>
    <w:p w14:paraId="22A642DB" w14:textId="68A76625" w:rsidR="00D56AD6" w:rsidRPr="00E542E6" w:rsidRDefault="00D56AD6" w:rsidP="00E542E6">
      <w:pPr>
        <w:spacing w:after="0"/>
        <w:jc w:val="both"/>
        <w:rPr>
          <w:b/>
          <w:bCs/>
        </w:rPr>
      </w:pPr>
      <w:r w:rsidRPr="00D56AD6">
        <w:rPr>
          <w:b/>
          <w:bCs/>
        </w:rPr>
        <w:t>Reflection</w:t>
      </w:r>
    </w:p>
    <w:p w14:paraId="6EA4A1E9" w14:textId="120285BC" w:rsidR="00D56AD6" w:rsidRDefault="00D56AD6" w:rsidP="005E2C64">
      <w:pPr>
        <w:spacing w:after="0"/>
        <w:jc w:val="both"/>
      </w:pPr>
      <w:r>
        <w:t xml:space="preserve">In 3-4 pages double-spaced, reflect on the choices you made in your presentation. </w:t>
      </w:r>
      <w:r w:rsidR="00E542E6">
        <w:t>What decisions did you make about the design, and h</w:t>
      </w:r>
      <w:r>
        <w:t xml:space="preserve">ow did the ancient worldview that you chose to focus on drive your various decisions? </w:t>
      </w:r>
      <w:r w:rsidR="00E542E6">
        <w:t xml:space="preserve">Are there elements that were driven more by the ancient society, the circumstances of death, or the physical region in which you set your plan? What other burials that we have studied did you draw upon in your design, and how? </w:t>
      </w:r>
      <w:r>
        <w:t xml:space="preserve">How do you think the worldviews of your modern culture </w:t>
      </w:r>
      <w:r w:rsidR="00E542E6">
        <w:t>drive burial decisions today?</w:t>
      </w:r>
      <w:r>
        <w:t xml:space="preserve"> </w:t>
      </w:r>
    </w:p>
    <w:p w14:paraId="324A3486" w14:textId="77777777" w:rsidR="00BA3213" w:rsidRDefault="00BA3213" w:rsidP="00A87ED4">
      <w:pPr>
        <w:spacing w:after="0"/>
        <w:jc w:val="both"/>
        <w:rPr>
          <w:b/>
          <w:bCs/>
          <w:smallCaps/>
        </w:rPr>
      </w:pPr>
    </w:p>
    <w:p w14:paraId="1CF6D9D8" w14:textId="479ECDCE" w:rsidR="00A87ED4" w:rsidRPr="00A87ED4" w:rsidRDefault="00A87ED4" w:rsidP="00A87ED4">
      <w:pPr>
        <w:spacing w:after="0"/>
        <w:jc w:val="both"/>
        <w:rPr>
          <w:b/>
          <w:bCs/>
          <w:smallCaps/>
        </w:rPr>
      </w:pPr>
      <w:r w:rsidRPr="00A87ED4">
        <w:rPr>
          <w:b/>
          <w:bCs/>
          <w:smallCaps/>
        </w:rPr>
        <w:t>Three Reading Reviews (Graduate Students)</w:t>
      </w:r>
    </w:p>
    <w:p w14:paraId="258D33E3" w14:textId="78AE3358" w:rsidR="00A87ED4" w:rsidRDefault="00A87ED4" w:rsidP="00A87ED4">
      <w:pPr>
        <w:spacing w:after="0"/>
        <w:jc w:val="both"/>
      </w:pPr>
      <w:r>
        <w:t>For each unit, you will read an extra reading, summarize it, and review it</w:t>
      </w:r>
      <w:r w:rsidR="00FE633F">
        <w:t xml:space="preserve"> in 2-3 pages double-spaced.</w:t>
      </w:r>
      <w:r w:rsidR="00B6308B">
        <w:t xml:space="preserve"> Turn your reviews in on Canvas.</w:t>
      </w:r>
    </w:p>
    <w:p w14:paraId="7931CE82" w14:textId="32F7BAB7" w:rsidR="00FE633F" w:rsidRDefault="00FE633F" w:rsidP="00A87ED4">
      <w:pPr>
        <w:spacing w:after="0"/>
        <w:jc w:val="both"/>
      </w:pPr>
      <w:r w:rsidRPr="00FE633F">
        <w:rPr>
          <w:b/>
          <w:bCs/>
        </w:rPr>
        <w:t>Your review should include</w:t>
      </w:r>
      <w:r>
        <w:t>: Full bibliographic information on the article/chapter, a summary of the article (What is the evidence? What argument does the author make based on that evidence?), and a discussion of the significance of this information for our understanding of death and the afterlife in the ancient Middle East. You may also include a critique of the author’s argument if you desire.</w:t>
      </w:r>
    </w:p>
    <w:p w14:paraId="64C2C6EF" w14:textId="025CB0DD" w:rsidR="00FE633F" w:rsidRDefault="00FE633F" w:rsidP="00A87ED4">
      <w:pPr>
        <w:spacing w:after="0"/>
        <w:jc w:val="both"/>
      </w:pPr>
      <w:r w:rsidRPr="00FE633F">
        <w:rPr>
          <w:b/>
          <w:bCs/>
        </w:rPr>
        <w:t>Pro Tip</w:t>
      </w:r>
      <w:r>
        <w:t>: What site will you be presenting on? You may be able to pick an article that is relevant to your site.</w:t>
      </w:r>
    </w:p>
    <w:p w14:paraId="0A26A898" w14:textId="77777777" w:rsidR="00FE633F" w:rsidRDefault="00FE633F" w:rsidP="00A87ED4">
      <w:pPr>
        <w:spacing w:after="0"/>
        <w:jc w:val="both"/>
      </w:pPr>
    </w:p>
    <w:p w14:paraId="37F5B1A9" w14:textId="2C2D668B" w:rsidR="00A87ED4" w:rsidRDefault="00A87ED4" w:rsidP="00B6308B">
      <w:pPr>
        <w:spacing w:after="0"/>
        <w:ind w:firstLine="720"/>
        <w:jc w:val="both"/>
      </w:pPr>
      <w:r>
        <w:t>Review a Reading from the “Egypt Collection”: due 19 Apr</w:t>
      </w:r>
    </w:p>
    <w:p w14:paraId="29A7C016" w14:textId="592FBB94" w:rsidR="00A87ED4" w:rsidRDefault="00A87ED4" w:rsidP="00B6308B">
      <w:pPr>
        <w:spacing w:after="0"/>
        <w:ind w:firstLine="720"/>
        <w:jc w:val="both"/>
      </w:pPr>
      <w:r>
        <w:t>Review a Reading from the “Mesopotamia Collection”:</w:t>
      </w:r>
      <w:r w:rsidRPr="00A87ED4">
        <w:t xml:space="preserve"> </w:t>
      </w:r>
      <w:r w:rsidR="00FE633F">
        <w:t xml:space="preserve">due </w:t>
      </w:r>
      <w:r>
        <w:t>3 May</w:t>
      </w:r>
    </w:p>
    <w:p w14:paraId="5C55CE87" w14:textId="5737C12F" w:rsidR="00A87ED4" w:rsidRPr="00B362A8" w:rsidRDefault="00A87ED4" w:rsidP="00B6308B">
      <w:pPr>
        <w:spacing w:after="0"/>
        <w:ind w:firstLine="720"/>
        <w:jc w:val="both"/>
      </w:pPr>
      <w:r>
        <w:t>Review a Reading from the “Syria/Canaan Collection”:</w:t>
      </w:r>
      <w:r w:rsidR="00FE633F">
        <w:t xml:space="preserve"> due 2 May</w:t>
      </w:r>
    </w:p>
    <w:p w14:paraId="38FC4FF9" w14:textId="77777777" w:rsidR="00B362A8" w:rsidRDefault="00B362A8" w:rsidP="00B45351">
      <w:pPr>
        <w:spacing w:after="0"/>
        <w:rPr>
          <w:b/>
          <w:bCs/>
          <w:smallCaps/>
        </w:rPr>
      </w:pPr>
    </w:p>
    <w:p w14:paraId="6F15CF03" w14:textId="77777777" w:rsidR="00D53F6B" w:rsidRDefault="00D53F6B" w:rsidP="00B45351">
      <w:pPr>
        <w:spacing w:after="0"/>
        <w:rPr>
          <w:b/>
          <w:bCs/>
          <w:smallCaps/>
        </w:rPr>
      </w:pPr>
    </w:p>
    <w:p w14:paraId="5C4A2D55" w14:textId="7E0A601A" w:rsidR="00B45351" w:rsidRPr="00B362A8" w:rsidRDefault="00B45351" w:rsidP="00B45351">
      <w:pPr>
        <w:spacing w:after="0"/>
        <w:rPr>
          <w:smallCaps/>
        </w:rPr>
      </w:pPr>
      <w:r w:rsidRPr="00B362A8">
        <w:rPr>
          <w:b/>
          <w:bCs/>
          <w:smallCaps/>
        </w:rPr>
        <w:lastRenderedPageBreak/>
        <w:t>Site Presentations</w:t>
      </w:r>
      <w:r w:rsidR="00B362A8" w:rsidRPr="00B362A8">
        <w:rPr>
          <w:b/>
          <w:bCs/>
          <w:smallCaps/>
        </w:rPr>
        <w:t xml:space="preserve"> (Graduate Students)</w:t>
      </w:r>
    </w:p>
    <w:p w14:paraId="6B7DE345" w14:textId="725DD943" w:rsidR="00B45351" w:rsidRDefault="00B45351" w:rsidP="00B45351">
      <w:pPr>
        <w:spacing w:after="0"/>
      </w:pPr>
      <w:r>
        <w:t xml:space="preserve">Do a little research on your assigned site and show us what you found! </w:t>
      </w:r>
      <w:r w:rsidRPr="00A21399">
        <w:rPr>
          <w:u w:val="single"/>
        </w:rPr>
        <w:t>7 minutes</w:t>
      </w:r>
      <w:r>
        <w:t xml:space="preserve"> is ideal. What cemetaries, tombs, or graves do we have from this site?</w:t>
      </w:r>
      <w:r w:rsidR="00A21399">
        <w:t xml:space="preserve"> What is their sociohistorical context? What is notable about them?</w:t>
      </w:r>
    </w:p>
    <w:p w14:paraId="1564DFFF" w14:textId="125F44B5" w:rsidR="00A21399" w:rsidRDefault="00A21399" w:rsidP="00B45351">
      <w:pPr>
        <w:spacing w:after="0"/>
      </w:pPr>
      <w:r>
        <w:t>Provide a PowerPoint or handout to show us relevant maps, diagrams, or images.</w:t>
      </w:r>
    </w:p>
    <w:p w14:paraId="39B55798" w14:textId="177B5602" w:rsidR="00A21399" w:rsidRDefault="00A21399" w:rsidP="00B45351">
      <w:pPr>
        <w:spacing w:after="0"/>
      </w:pPr>
      <w:r w:rsidRPr="00A21399">
        <w:rPr>
          <w:u w:val="single"/>
        </w:rPr>
        <w:t>Pro Tip</w:t>
      </w:r>
      <w:r>
        <w:t>: If you can find enough information on any one tomb or burial, your best option is to very briefly introduce the larger context and then spend most of your time taking us through that specific tomb or burial and the interpretation of its features.</w:t>
      </w:r>
    </w:p>
    <w:p w14:paraId="719F435F" w14:textId="156336B0" w:rsidR="00FE633F" w:rsidRDefault="00FE633F" w:rsidP="00B45351">
      <w:pPr>
        <w:spacing w:after="0"/>
      </w:pPr>
      <w:r w:rsidRPr="00FE633F">
        <w:rPr>
          <w:u w:val="single"/>
        </w:rPr>
        <w:t>Another Pro Tip</w:t>
      </w:r>
      <w:r>
        <w:t>: There is often a relevant article in the “Collection” section to get you started.</w:t>
      </w:r>
    </w:p>
    <w:p w14:paraId="194C6875" w14:textId="77777777" w:rsidR="00B45351" w:rsidRPr="00B45351" w:rsidRDefault="00B45351" w:rsidP="00B45351">
      <w:pPr>
        <w:spacing w:after="0"/>
      </w:pPr>
    </w:p>
    <w:p w14:paraId="24B9F27E" w14:textId="77777777" w:rsidR="00B45351" w:rsidRPr="00DF6428" w:rsidRDefault="00B45351" w:rsidP="00B45351">
      <w:pPr>
        <w:spacing w:after="0"/>
        <w:rPr>
          <w:u w:val="single"/>
        </w:rPr>
      </w:pPr>
      <w:r w:rsidRPr="00DF6428">
        <w:rPr>
          <w:u w:val="single"/>
        </w:rPr>
        <w:t>Egypt Section</w:t>
      </w:r>
    </w:p>
    <w:p w14:paraId="0C9892BC" w14:textId="544C7875" w:rsidR="00B45351" w:rsidRDefault="00B45351" w:rsidP="00B45351">
      <w:pPr>
        <w:pStyle w:val="ListParagraph"/>
        <w:numPr>
          <w:ilvl w:val="1"/>
          <w:numId w:val="9"/>
        </w:numPr>
        <w:spacing w:after="0"/>
        <w:ind w:left="720"/>
      </w:pPr>
      <w:r>
        <w:t>Hierakonpolis – week 2 W</w:t>
      </w:r>
      <w:r w:rsidR="00B6308B">
        <w:tab/>
      </w:r>
      <w:r w:rsidR="00B6308B">
        <w:tab/>
        <w:t>_________________________________</w:t>
      </w:r>
    </w:p>
    <w:p w14:paraId="5441EA4C" w14:textId="788B6365" w:rsidR="00B45351" w:rsidRDefault="00B45351" w:rsidP="00B45351">
      <w:pPr>
        <w:pStyle w:val="ListParagraph"/>
        <w:numPr>
          <w:ilvl w:val="1"/>
          <w:numId w:val="9"/>
        </w:numPr>
        <w:spacing w:after="0"/>
        <w:ind w:left="720"/>
      </w:pPr>
      <w:r>
        <w:t>Avaris – week 3 M</w:t>
      </w:r>
      <w:r w:rsidR="00B6308B">
        <w:tab/>
      </w:r>
      <w:r w:rsidR="00B6308B">
        <w:tab/>
      </w:r>
      <w:r w:rsidR="00B6308B">
        <w:tab/>
        <w:t>_________________________________</w:t>
      </w:r>
    </w:p>
    <w:p w14:paraId="7FC641B1" w14:textId="3192E775" w:rsidR="00B45351" w:rsidRDefault="00B45351" w:rsidP="00B45351">
      <w:pPr>
        <w:pStyle w:val="ListParagraph"/>
        <w:numPr>
          <w:ilvl w:val="1"/>
          <w:numId w:val="9"/>
        </w:numPr>
        <w:spacing w:after="0"/>
        <w:ind w:left="720"/>
      </w:pPr>
      <w:r>
        <w:t>Napata or Meroe – week 3 W</w:t>
      </w:r>
      <w:r w:rsidR="00B6308B">
        <w:tab/>
      </w:r>
      <w:r w:rsidR="00B6308B">
        <w:tab/>
        <w:t>_________________________________</w:t>
      </w:r>
    </w:p>
    <w:p w14:paraId="73D32C91" w14:textId="7F7C029D" w:rsidR="00B45351" w:rsidRDefault="00B45351" w:rsidP="00B45351">
      <w:pPr>
        <w:pStyle w:val="ListParagraph"/>
        <w:numPr>
          <w:ilvl w:val="1"/>
          <w:numId w:val="9"/>
        </w:numPr>
        <w:spacing w:after="0"/>
        <w:ind w:left="720"/>
      </w:pPr>
      <w:r>
        <w:t>Memphis (Saqqara) – week 4</w:t>
      </w:r>
      <w:r w:rsidR="00B6308B">
        <w:tab/>
      </w:r>
      <w:r w:rsidR="00B6308B">
        <w:tab/>
        <w:t>_________________________________</w:t>
      </w:r>
    </w:p>
    <w:p w14:paraId="0761ADE4" w14:textId="77777777" w:rsidR="00B45351" w:rsidRPr="00DF6428" w:rsidRDefault="00B45351" w:rsidP="00B45351">
      <w:pPr>
        <w:spacing w:after="0"/>
        <w:rPr>
          <w:u w:val="single"/>
        </w:rPr>
      </w:pPr>
    </w:p>
    <w:p w14:paraId="4958B701" w14:textId="77777777" w:rsidR="00B45351" w:rsidRDefault="00B45351" w:rsidP="00B45351">
      <w:pPr>
        <w:spacing w:after="0"/>
        <w:rPr>
          <w:u w:val="single"/>
        </w:rPr>
      </w:pPr>
      <w:r w:rsidRPr="00DF6428">
        <w:rPr>
          <w:u w:val="single"/>
        </w:rPr>
        <w:t>Mesopotamia</w:t>
      </w:r>
    </w:p>
    <w:p w14:paraId="6B717D86" w14:textId="2864329E" w:rsidR="00B45351" w:rsidRPr="00E52275" w:rsidRDefault="00B45351" w:rsidP="00B45351">
      <w:pPr>
        <w:pStyle w:val="ListParagraph"/>
        <w:numPr>
          <w:ilvl w:val="0"/>
          <w:numId w:val="7"/>
        </w:numPr>
        <w:spacing w:after="0"/>
      </w:pPr>
      <w:r>
        <w:rPr>
          <w:sz w:val="23"/>
          <w:szCs w:val="23"/>
        </w:rPr>
        <w:t>Titriş Höyük – week 5 M</w:t>
      </w:r>
      <w:r w:rsidR="00B6308B">
        <w:rPr>
          <w:sz w:val="23"/>
          <w:szCs w:val="23"/>
        </w:rPr>
        <w:tab/>
      </w:r>
      <w:r w:rsidR="00B6308B">
        <w:rPr>
          <w:sz w:val="23"/>
          <w:szCs w:val="23"/>
        </w:rPr>
        <w:tab/>
      </w:r>
      <w:r w:rsidR="00B6308B">
        <w:t>_________________________________</w:t>
      </w:r>
    </w:p>
    <w:p w14:paraId="7BE9678D" w14:textId="0A6A1E4A" w:rsidR="00B45351" w:rsidRPr="0051322A" w:rsidRDefault="00B45351" w:rsidP="00B45351">
      <w:pPr>
        <w:pStyle w:val="ListParagraph"/>
        <w:numPr>
          <w:ilvl w:val="0"/>
          <w:numId w:val="7"/>
        </w:numPr>
        <w:spacing w:after="0"/>
      </w:pPr>
      <w:r w:rsidRPr="0049197D">
        <w:rPr>
          <w:sz w:val="23"/>
          <w:szCs w:val="23"/>
        </w:rPr>
        <w:t>Kish</w:t>
      </w:r>
      <w:r>
        <w:rPr>
          <w:sz w:val="23"/>
          <w:szCs w:val="23"/>
        </w:rPr>
        <w:t xml:space="preserve"> or Nippur – week 5 W</w:t>
      </w:r>
      <w:r w:rsidR="00B6308B">
        <w:rPr>
          <w:sz w:val="23"/>
          <w:szCs w:val="23"/>
        </w:rPr>
        <w:tab/>
      </w:r>
      <w:r w:rsidR="00B6308B">
        <w:rPr>
          <w:sz w:val="23"/>
          <w:szCs w:val="23"/>
        </w:rPr>
        <w:tab/>
      </w:r>
      <w:r w:rsidR="00B6308B">
        <w:t>_________________________________</w:t>
      </w:r>
    </w:p>
    <w:p w14:paraId="44367F63" w14:textId="405A29BB" w:rsidR="00B45351" w:rsidRPr="0049197D" w:rsidRDefault="00B45351" w:rsidP="00B45351">
      <w:pPr>
        <w:pStyle w:val="ListParagraph"/>
        <w:numPr>
          <w:ilvl w:val="0"/>
          <w:numId w:val="7"/>
        </w:numPr>
        <w:spacing w:after="0"/>
      </w:pPr>
      <w:r>
        <w:rPr>
          <w:sz w:val="23"/>
          <w:szCs w:val="23"/>
        </w:rPr>
        <w:t>Mari – week 6 M</w:t>
      </w:r>
      <w:r w:rsidR="00B6308B">
        <w:rPr>
          <w:sz w:val="23"/>
          <w:szCs w:val="23"/>
        </w:rPr>
        <w:tab/>
      </w:r>
      <w:r w:rsidR="00B6308B">
        <w:rPr>
          <w:sz w:val="23"/>
          <w:szCs w:val="23"/>
        </w:rPr>
        <w:tab/>
      </w:r>
      <w:r w:rsidR="00B6308B">
        <w:rPr>
          <w:sz w:val="23"/>
          <w:szCs w:val="23"/>
        </w:rPr>
        <w:tab/>
      </w:r>
      <w:r w:rsidR="00B6308B">
        <w:t>_________________________________</w:t>
      </w:r>
    </w:p>
    <w:p w14:paraId="79C1D9D8" w14:textId="5DFFB317" w:rsidR="00B45351" w:rsidRPr="00B6308B" w:rsidRDefault="00B45351" w:rsidP="00B45351">
      <w:pPr>
        <w:pStyle w:val="ListParagraph"/>
        <w:numPr>
          <w:ilvl w:val="0"/>
          <w:numId w:val="7"/>
        </w:numPr>
        <w:spacing w:after="0"/>
      </w:pPr>
      <w:r>
        <w:rPr>
          <w:sz w:val="23"/>
          <w:szCs w:val="23"/>
        </w:rPr>
        <w:t>Babylon (Neo-Babylonian Period; see Baker’s article to start) – week 6 W</w:t>
      </w:r>
    </w:p>
    <w:p w14:paraId="35865020" w14:textId="7CBC9C23" w:rsidR="00B6308B" w:rsidRPr="001B2629" w:rsidRDefault="00B6308B" w:rsidP="00B6308B">
      <w:pPr>
        <w:pStyle w:val="ListParagraph"/>
        <w:spacing w:after="0"/>
        <w:ind w:left="4320"/>
      </w:pPr>
      <w:r>
        <w:t>_________________________________</w:t>
      </w:r>
    </w:p>
    <w:p w14:paraId="1CCF2E5B" w14:textId="77777777" w:rsidR="00B45351" w:rsidRDefault="00B45351" w:rsidP="00B45351">
      <w:pPr>
        <w:spacing w:after="0"/>
        <w:rPr>
          <w:u w:val="single"/>
        </w:rPr>
      </w:pPr>
    </w:p>
    <w:p w14:paraId="53320856" w14:textId="77777777" w:rsidR="00B45351" w:rsidRDefault="00B45351" w:rsidP="00B45351">
      <w:pPr>
        <w:spacing w:after="0"/>
        <w:rPr>
          <w:u w:val="single"/>
        </w:rPr>
      </w:pPr>
      <w:r w:rsidRPr="00DF6428">
        <w:rPr>
          <w:u w:val="single"/>
        </w:rPr>
        <w:t>Syria/Canaan/Anatolia</w:t>
      </w:r>
    </w:p>
    <w:p w14:paraId="4176BCAF" w14:textId="356AFB21" w:rsidR="00B45351" w:rsidRPr="00B035C6" w:rsidRDefault="00B45351" w:rsidP="00B45351">
      <w:pPr>
        <w:pStyle w:val="ListParagraph"/>
        <w:numPr>
          <w:ilvl w:val="0"/>
          <w:numId w:val="6"/>
        </w:numPr>
        <w:spacing w:after="0"/>
      </w:pPr>
      <w:r>
        <w:rPr>
          <w:sz w:val="23"/>
          <w:szCs w:val="23"/>
        </w:rPr>
        <w:t>Gre Virike – week 7 M</w:t>
      </w:r>
      <w:r w:rsidR="00B6308B">
        <w:rPr>
          <w:sz w:val="23"/>
          <w:szCs w:val="23"/>
        </w:rPr>
        <w:tab/>
      </w:r>
      <w:r w:rsidR="00B6308B">
        <w:rPr>
          <w:sz w:val="23"/>
          <w:szCs w:val="23"/>
        </w:rPr>
        <w:tab/>
      </w:r>
      <w:r w:rsidR="00B6308B">
        <w:rPr>
          <w:sz w:val="23"/>
          <w:szCs w:val="23"/>
        </w:rPr>
        <w:tab/>
      </w:r>
      <w:r w:rsidR="00B6308B">
        <w:t>_________________________________</w:t>
      </w:r>
    </w:p>
    <w:p w14:paraId="03315F91" w14:textId="47219C88" w:rsidR="00B45351" w:rsidRPr="001B2629" w:rsidRDefault="00B45351" w:rsidP="00B45351">
      <w:pPr>
        <w:pStyle w:val="ListParagraph"/>
        <w:numPr>
          <w:ilvl w:val="0"/>
          <w:numId w:val="6"/>
        </w:numPr>
        <w:spacing w:after="0"/>
      </w:pPr>
      <w:r>
        <w:t>Deir el Balah</w:t>
      </w:r>
      <w:r>
        <w:rPr>
          <w:rFonts w:cs="Times New Roman"/>
          <w:szCs w:val="24"/>
        </w:rPr>
        <w:t>̣ or Tel Banat – week 7 W</w:t>
      </w:r>
      <w:r w:rsidR="00B6308B">
        <w:rPr>
          <w:rFonts w:cs="Times New Roman"/>
          <w:szCs w:val="24"/>
        </w:rPr>
        <w:tab/>
      </w:r>
      <w:r w:rsidR="00B6308B">
        <w:t>_________________________________</w:t>
      </w:r>
    </w:p>
    <w:p w14:paraId="182BF6EC" w14:textId="71D934CC" w:rsidR="00B45351" w:rsidRPr="001B2629" w:rsidRDefault="00B45351" w:rsidP="00B45351">
      <w:pPr>
        <w:pStyle w:val="ListParagraph"/>
        <w:numPr>
          <w:ilvl w:val="0"/>
          <w:numId w:val="6"/>
        </w:numPr>
        <w:spacing w:after="0"/>
      </w:pPr>
      <w:r>
        <w:rPr>
          <w:rFonts w:cs="Times New Roman"/>
          <w:szCs w:val="24"/>
        </w:rPr>
        <w:t>Megiddo (Bronze Age) – week 8 M</w:t>
      </w:r>
      <w:r w:rsidR="00B6308B">
        <w:rPr>
          <w:rFonts w:cs="Times New Roman"/>
          <w:szCs w:val="24"/>
        </w:rPr>
        <w:tab/>
      </w:r>
      <w:r w:rsidR="00B6308B">
        <w:t>_________________________________</w:t>
      </w:r>
    </w:p>
    <w:p w14:paraId="69AC8CE2" w14:textId="0EBA091F" w:rsidR="00B45351" w:rsidRPr="001900FE" w:rsidRDefault="00B45351" w:rsidP="00B45351">
      <w:pPr>
        <w:pStyle w:val="ListParagraph"/>
        <w:numPr>
          <w:ilvl w:val="0"/>
          <w:numId w:val="6"/>
        </w:numPr>
        <w:spacing w:after="0"/>
      </w:pPr>
      <w:r w:rsidRPr="001900FE">
        <w:rPr>
          <w:rFonts w:cs="Times New Roman"/>
          <w:szCs w:val="24"/>
        </w:rPr>
        <w:t>Khirbet el Qom</w:t>
      </w:r>
      <w:r>
        <w:rPr>
          <w:rFonts w:cs="Times New Roman"/>
          <w:szCs w:val="24"/>
        </w:rPr>
        <w:t xml:space="preserve"> – week 8 W</w:t>
      </w:r>
      <w:r w:rsidR="00B6308B">
        <w:rPr>
          <w:rFonts w:cs="Times New Roman"/>
          <w:szCs w:val="24"/>
        </w:rPr>
        <w:tab/>
      </w:r>
      <w:r w:rsidR="00B6308B">
        <w:rPr>
          <w:rFonts w:cs="Times New Roman"/>
          <w:szCs w:val="24"/>
        </w:rPr>
        <w:tab/>
      </w:r>
      <w:r w:rsidR="00B6308B">
        <w:t>_________________________________</w:t>
      </w:r>
    </w:p>
    <w:p w14:paraId="1BA5A015" w14:textId="26DF836F" w:rsidR="00B45351" w:rsidRPr="0049197D" w:rsidRDefault="00B45351" w:rsidP="00B45351">
      <w:pPr>
        <w:pStyle w:val="ListParagraph"/>
        <w:numPr>
          <w:ilvl w:val="0"/>
          <w:numId w:val="6"/>
        </w:numPr>
        <w:spacing w:after="0"/>
      </w:pPr>
      <w:r w:rsidRPr="0049197D">
        <w:rPr>
          <w:rFonts w:cs="Times New Roman"/>
          <w:szCs w:val="24"/>
        </w:rPr>
        <w:t>Jerusalem (Siloam Necropolis) – week 9</w:t>
      </w:r>
      <w:r>
        <w:rPr>
          <w:rFonts w:cs="Times New Roman"/>
          <w:szCs w:val="24"/>
        </w:rPr>
        <w:t xml:space="preserve"> M</w:t>
      </w:r>
      <w:r w:rsidR="00B6308B">
        <w:rPr>
          <w:rFonts w:cs="Times New Roman"/>
          <w:szCs w:val="24"/>
        </w:rPr>
        <w:tab/>
      </w:r>
      <w:r w:rsidR="00B6308B">
        <w:t>_________________________________</w:t>
      </w:r>
    </w:p>
    <w:p w14:paraId="2A6E15E1" w14:textId="6BDB947D" w:rsidR="00B45351" w:rsidRDefault="00B45351" w:rsidP="007C3296">
      <w:pPr>
        <w:spacing w:after="0"/>
        <w:ind w:left="720" w:hanging="720"/>
        <w:contextualSpacing/>
        <w:jc w:val="both"/>
        <w:rPr>
          <w:rFonts w:asciiTheme="majorBidi" w:eastAsiaTheme="minorHAnsi" w:hAnsiTheme="majorBidi" w:cstheme="majorBidi"/>
          <w:b/>
          <w:bCs/>
          <w:smallCaps/>
          <w:szCs w:val="24"/>
          <w:highlight w:val="yellow"/>
        </w:rPr>
      </w:pPr>
    </w:p>
    <w:p w14:paraId="61DC7D37" w14:textId="264FB20E" w:rsidR="00A21399" w:rsidRPr="00460888" w:rsidRDefault="00A21399" w:rsidP="007C3296">
      <w:pPr>
        <w:spacing w:after="0"/>
        <w:ind w:left="720" w:hanging="720"/>
        <w:contextualSpacing/>
        <w:jc w:val="both"/>
        <w:rPr>
          <w:rFonts w:asciiTheme="majorBidi" w:eastAsiaTheme="minorHAnsi" w:hAnsiTheme="majorBidi" w:cstheme="majorBidi"/>
          <w:b/>
          <w:bCs/>
          <w:smallCaps/>
          <w:szCs w:val="24"/>
        </w:rPr>
      </w:pPr>
      <w:r w:rsidRPr="00460888">
        <w:rPr>
          <w:rFonts w:asciiTheme="majorBidi" w:eastAsiaTheme="minorHAnsi" w:hAnsiTheme="majorBidi" w:cstheme="majorBidi"/>
          <w:b/>
          <w:bCs/>
          <w:smallCaps/>
          <w:szCs w:val="24"/>
        </w:rPr>
        <w:t>Final Paper (Graduate Students)</w:t>
      </w:r>
      <w:r w:rsidR="00B362A8">
        <w:rPr>
          <w:rFonts w:asciiTheme="majorBidi" w:eastAsiaTheme="minorHAnsi" w:hAnsiTheme="majorBidi" w:cstheme="majorBidi"/>
          <w:b/>
          <w:bCs/>
          <w:smallCaps/>
          <w:szCs w:val="24"/>
        </w:rPr>
        <w:t xml:space="preserve"> due June 8</w:t>
      </w:r>
    </w:p>
    <w:p w14:paraId="4371B9A4" w14:textId="7E521481" w:rsidR="00A21399" w:rsidRPr="00460888" w:rsidRDefault="00A21399" w:rsidP="007C3296">
      <w:pPr>
        <w:spacing w:after="0"/>
        <w:ind w:left="720" w:hanging="720"/>
        <w:contextualSpacing/>
        <w:jc w:val="both"/>
        <w:rPr>
          <w:rFonts w:asciiTheme="majorBidi" w:eastAsiaTheme="minorHAnsi" w:hAnsiTheme="majorBidi" w:cstheme="majorBidi"/>
          <w:szCs w:val="24"/>
        </w:rPr>
      </w:pPr>
      <w:r w:rsidRPr="00460888">
        <w:rPr>
          <w:rFonts w:asciiTheme="majorBidi" w:eastAsiaTheme="minorHAnsi" w:hAnsiTheme="majorBidi" w:cstheme="majorBidi"/>
          <w:smallCaps/>
          <w:szCs w:val="24"/>
        </w:rPr>
        <w:t>G</w:t>
      </w:r>
      <w:r w:rsidRPr="00460888">
        <w:rPr>
          <w:rFonts w:asciiTheme="majorBidi" w:eastAsiaTheme="minorHAnsi" w:hAnsiTheme="majorBidi" w:cstheme="majorBidi"/>
          <w:szCs w:val="24"/>
        </w:rPr>
        <w:t>raduate students will complete a research paper of 12 pages double-spaced, with cover page not included in page count.</w:t>
      </w:r>
      <w:r w:rsidR="005550D9">
        <w:rPr>
          <w:rFonts w:asciiTheme="majorBidi" w:eastAsiaTheme="minorHAnsi" w:hAnsiTheme="majorBidi" w:cstheme="majorBidi"/>
          <w:szCs w:val="24"/>
        </w:rPr>
        <w:t xml:space="preserve"> All sources used must be properly cited in footnotes, with author’s last name, publication year, and page number (e.g., Smith 1990:27.).</w:t>
      </w:r>
    </w:p>
    <w:p w14:paraId="4FF831DF" w14:textId="4A2AF03A" w:rsidR="00A21399" w:rsidRDefault="00A21399" w:rsidP="007C3296">
      <w:pPr>
        <w:spacing w:after="0"/>
        <w:ind w:left="720" w:hanging="720"/>
        <w:contextualSpacing/>
        <w:jc w:val="both"/>
        <w:rPr>
          <w:rFonts w:asciiTheme="majorBidi" w:eastAsiaTheme="minorHAnsi" w:hAnsiTheme="majorBidi" w:cstheme="majorBidi"/>
          <w:szCs w:val="24"/>
        </w:rPr>
      </w:pPr>
      <w:r w:rsidRPr="00460888">
        <w:rPr>
          <w:rFonts w:asciiTheme="majorBidi" w:eastAsiaTheme="minorHAnsi" w:hAnsiTheme="majorBidi" w:cstheme="majorBidi"/>
          <w:b/>
          <w:bCs/>
          <w:szCs w:val="24"/>
        </w:rPr>
        <w:t>Default topic</w:t>
      </w:r>
      <w:r w:rsidRPr="00460888">
        <w:rPr>
          <w:rFonts w:asciiTheme="majorBidi" w:eastAsiaTheme="minorHAnsi" w:hAnsiTheme="majorBidi" w:cstheme="majorBidi"/>
          <w:szCs w:val="24"/>
        </w:rPr>
        <w:t>: What can we learn about death and the afterlife in the ancient Middle East f</w:t>
      </w:r>
      <w:r w:rsidR="00460888" w:rsidRPr="00460888">
        <w:rPr>
          <w:rFonts w:asciiTheme="majorBidi" w:eastAsiaTheme="minorHAnsi" w:hAnsiTheme="majorBidi" w:cstheme="majorBidi"/>
          <w:szCs w:val="24"/>
        </w:rPr>
        <w:t xml:space="preserve">rom X ancient site? </w:t>
      </w:r>
      <w:r w:rsidR="00460888">
        <w:rPr>
          <w:rFonts w:asciiTheme="majorBidi" w:eastAsiaTheme="minorHAnsi" w:hAnsiTheme="majorBidi" w:cstheme="majorBidi"/>
          <w:szCs w:val="24"/>
        </w:rPr>
        <w:t>(Students usually choose to focus on the site for which they did their site presentation. If you want to do a different site or an entirely different topic, please see me.)</w:t>
      </w:r>
    </w:p>
    <w:p w14:paraId="738DF01E" w14:textId="0CB2FFD9" w:rsidR="00460888" w:rsidRDefault="00460888" w:rsidP="007C3296">
      <w:pPr>
        <w:spacing w:after="0"/>
        <w:ind w:left="720" w:hanging="720"/>
        <w:contextualSpacing/>
        <w:jc w:val="both"/>
        <w:rPr>
          <w:rFonts w:asciiTheme="majorBidi" w:eastAsiaTheme="minorHAnsi" w:hAnsiTheme="majorBidi" w:cstheme="majorBidi"/>
          <w:szCs w:val="24"/>
        </w:rPr>
      </w:pPr>
      <w:r w:rsidRPr="00460888">
        <w:rPr>
          <w:rFonts w:asciiTheme="majorBidi" w:eastAsiaTheme="minorHAnsi" w:hAnsiTheme="majorBidi" w:cstheme="majorBidi"/>
          <w:b/>
          <w:bCs/>
          <w:szCs w:val="24"/>
        </w:rPr>
        <w:t>The paper will include the following elements</w:t>
      </w:r>
      <w:r>
        <w:rPr>
          <w:rFonts w:asciiTheme="majorBidi" w:eastAsiaTheme="minorHAnsi" w:hAnsiTheme="majorBidi" w:cstheme="majorBidi"/>
          <w:szCs w:val="24"/>
        </w:rPr>
        <w:t xml:space="preserve">: </w:t>
      </w:r>
      <w:r w:rsidRPr="008A00E9">
        <w:rPr>
          <w:rFonts w:asciiTheme="majorBidi" w:eastAsiaTheme="minorHAnsi" w:hAnsiTheme="majorBidi" w:cstheme="majorBidi"/>
          <w:szCs w:val="24"/>
          <w:u w:val="single"/>
        </w:rPr>
        <w:t>Introduction</w:t>
      </w:r>
      <w:r>
        <w:rPr>
          <w:rFonts w:asciiTheme="majorBidi" w:eastAsiaTheme="minorHAnsi" w:hAnsiTheme="majorBidi" w:cstheme="majorBidi"/>
          <w:szCs w:val="24"/>
        </w:rPr>
        <w:t xml:space="preserve"> of the site within its historical context (when was the site used and by whom? What was going on in this region during this time?)</w:t>
      </w:r>
      <w:r w:rsidR="008A00E9">
        <w:rPr>
          <w:rFonts w:asciiTheme="majorBidi" w:eastAsiaTheme="minorHAnsi" w:hAnsiTheme="majorBidi" w:cstheme="majorBidi"/>
          <w:szCs w:val="24"/>
        </w:rPr>
        <w:t xml:space="preserve">, </w:t>
      </w:r>
      <w:r w:rsidR="008A00E9" w:rsidRPr="008A00E9">
        <w:rPr>
          <w:rFonts w:asciiTheme="majorBidi" w:eastAsiaTheme="minorHAnsi" w:hAnsiTheme="majorBidi" w:cstheme="majorBidi"/>
          <w:szCs w:val="24"/>
          <w:u w:val="single"/>
        </w:rPr>
        <w:t>detailed description</w:t>
      </w:r>
      <w:r w:rsidR="008A00E9">
        <w:rPr>
          <w:rFonts w:asciiTheme="majorBidi" w:eastAsiaTheme="minorHAnsi" w:hAnsiTheme="majorBidi" w:cstheme="majorBidi"/>
          <w:szCs w:val="24"/>
        </w:rPr>
        <w:t xml:space="preserve"> (either of all of the burial-related stuff at the site, or a brief description of all the burial-related stuff at the site with a more detailed description of a particular tomb, grave, or burial), </w:t>
      </w:r>
      <w:r w:rsidR="008A00E9" w:rsidRPr="008A00E9">
        <w:rPr>
          <w:rFonts w:asciiTheme="majorBidi" w:eastAsiaTheme="minorHAnsi" w:hAnsiTheme="majorBidi" w:cstheme="majorBidi"/>
          <w:szCs w:val="24"/>
          <w:u w:val="single"/>
        </w:rPr>
        <w:t>summary</w:t>
      </w:r>
      <w:r w:rsidR="008A00E9">
        <w:rPr>
          <w:rFonts w:asciiTheme="majorBidi" w:eastAsiaTheme="minorHAnsi" w:hAnsiTheme="majorBidi" w:cstheme="majorBidi"/>
          <w:szCs w:val="24"/>
        </w:rPr>
        <w:t xml:space="preserve"> of the afterlife beliefs that we might guess would be active in this region (based on class discussion), </w:t>
      </w:r>
      <w:r w:rsidR="008A00E9" w:rsidRPr="005550D9">
        <w:rPr>
          <w:rFonts w:asciiTheme="majorBidi" w:eastAsiaTheme="minorHAnsi" w:hAnsiTheme="majorBidi" w:cstheme="majorBidi"/>
          <w:szCs w:val="24"/>
          <w:u w:val="single"/>
        </w:rPr>
        <w:t xml:space="preserve">detailed discussion and </w:t>
      </w:r>
      <w:r w:rsidR="008A00E9" w:rsidRPr="005550D9">
        <w:rPr>
          <w:rFonts w:asciiTheme="majorBidi" w:eastAsiaTheme="minorHAnsi" w:hAnsiTheme="majorBidi" w:cstheme="majorBidi"/>
          <w:szCs w:val="24"/>
          <w:u w:val="single"/>
        </w:rPr>
        <w:lastRenderedPageBreak/>
        <w:t>interpretation</w:t>
      </w:r>
      <w:r w:rsidR="008A00E9">
        <w:rPr>
          <w:rFonts w:asciiTheme="majorBidi" w:eastAsiaTheme="minorHAnsi" w:hAnsiTheme="majorBidi" w:cstheme="majorBidi"/>
          <w:szCs w:val="24"/>
        </w:rPr>
        <w:t xml:space="preserve"> of the archaeological data in the light of those potential afterlife beliefs (how might these beliefs motivate the burial practices that we see here? What elements of the burial practices may not be connected </w:t>
      </w:r>
      <w:r w:rsidR="005550D9">
        <w:rPr>
          <w:rFonts w:asciiTheme="majorBidi" w:eastAsiaTheme="minorHAnsi" w:hAnsiTheme="majorBidi" w:cstheme="majorBidi"/>
          <w:szCs w:val="24"/>
        </w:rPr>
        <w:t xml:space="preserve">to these beliefs? What elements of the physical site, circumstances of death(s), or social structure might motivate these burial practices instead? Are there any practices that you can’t explain at all? If so, what information would you need in order to help you?), </w:t>
      </w:r>
      <w:r w:rsidR="005550D9" w:rsidRPr="005550D9">
        <w:rPr>
          <w:rFonts w:asciiTheme="majorBidi" w:eastAsiaTheme="minorHAnsi" w:hAnsiTheme="majorBidi" w:cstheme="majorBidi"/>
          <w:szCs w:val="24"/>
          <w:u w:val="single"/>
        </w:rPr>
        <w:t>conclusion</w:t>
      </w:r>
      <w:r w:rsidR="005550D9">
        <w:rPr>
          <w:rFonts w:asciiTheme="majorBidi" w:eastAsiaTheme="minorHAnsi" w:hAnsiTheme="majorBidi" w:cstheme="majorBidi"/>
          <w:szCs w:val="24"/>
        </w:rPr>
        <w:t xml:space="preserve"> (what can we learn about death and the afterlife in this specific ancient region from this site?), and </w:t>
      </w:r>
      <w:r w:rsidR="005550D9" w:rsidRPr="005550D9">
        <w:rPr>
          <w:rFonts w:asciiTheme="majorBidi" w:eastAsiaTheme="minorHAnsi" w:hAnsiTheme="majorBidi" w:cstheme="majorBidi"/>
          <w:szCs w:val="24"/>
          <w:u w:val="single"/>
        </w:rPr>
        <w:t>bibliography</w:t>
      </w:r>
      <w:r w:rsidR="005550D9">
        <w:rPr>
          <w:rFonts w:asciiTheme="majorBidi" w:eastAsiaTheme="minorHAnsi" w:hAnsiTheme="majorBidi" w:cstheme="majorBidi"/>
          <w:szCs w:val="24"/>
        </w:rPr>
        <w:t xml:space="preserve"> (Chicago style).</w:t>
      </w:r>
    </w:p>
    <w:p w14:paraId="4A0DE14D" w14:textId="5A6E7C41" w:rsidR="00B362A8" w:rsidRDefault="00B362A8" w:rsidP="007C3296">
      <w:pPr>
        <w:spacing w:after="0"/>
        <w:ind w:left="720" w:hanging="720"/>
        <w:contextualSpacing/>
        <w:jc w:val="both"/>
        <w:rPr>
          <w:rFonts w:asciiTheme="majorBidi" w:eastAsiaTheme="minorHAnsi" w:hAnsiTheme="majorBidi" w:cstheme="majorBidi"/>
          <w:szCs w:val="24"/>
        </w:rPr>
      </w:pPr>
      <w:r w:rsidRPr="00B362A8">
        <w:rPr>
          <w:rFonts w:asciiTheme="majorBidi" w:eastAsiaTheme="minorHAnsi" w:hAnsiTheme="majorBidi" w:cstheme="majorBidi"/>
          <w:szCs w:val="24"/>
        </w:rPr>
        <w:t>Further details to follow.</w:t>
      </w:r>
    </w:p>
    <w:p w14:paraId="5BA1BA27" w14:textId="008471B3" w:rsidR="00B362A8" w:rsidRPr="00B362A8" w:rsidRDefault="00B362A8" w:rsidP="007C3296">
      <w:pPr>
        <w:spacing w:after="0"/>
        <w:ind w:left="720" w:hanging="720"/>
        <w:contextualSpacing/>
        <w:jc w:val="both"/>
        <w:rPr>
          <w:rFonts w:asciiTheme="majorBidi" w:eastAsiaTheme="minorHAnsi" w:hAnsiTheme="majorBidi" w:cstheme="majorBidi"/>
          <w:szCs w:val="24"/>
        </w:rPr>
      </w:pPr>
      <w:r w:rsidRPr="00B362A8">
        <w:rPr>
          <w:rFonts w:asciiTheme="majorBidi" w:eastAsiaTheme="minorHAnsi" w:hAnsiTheme="majorBidi" w:cstheme="majorBidi"/>
          <w:b/>
          <w:bCs/>
          <w:szCs w:val="24"/>
        </w:rPr>
        <w:t>Optional draft turn-in date</w:t>
      </w:r>
      <w:r>
        <w:rPr>
          <w:rFonts w:asciiTheme="majorBidi" w:eastAsiaTheme="minorHAnsi" w:hAnsiTheme="majorBidi" w:cstheme="majorBidi"/>
          <w:szCs w:val="24"/>
        </w:rPr>
        <w:t xml:space="preserve"> (if you would like to receive feedback from me): 24 May</w:t>
      </w:r>
    </w:p>
    <w:p w14:paraId="199E9248" w14:textId="77777777" w:rsidR="007A7200" w:rsidRPr="0090435E" w:rsidRDefault="007A7200" w:rsidP="007C3296">
      <w:pPr>
        <w:spacing w:after="0"/>
        <w:ind w:left="720" w:hanging="720"/>
        <w:contextualSpacing/>
        <w:jc w:val="both"/>
        <w:rPr>
          <w:rFonts w:asciiTheme="majorBidi" w:eastAsiaTheme="minorHAnsi" w:hAnsiTheme="majorBidi" w:cstheme="majorBidi"/>
          <w:b/>
          <w:bCs/>
          <w:smallCaps/>
          <w:szCs w:val="24"/>
          <w:highlight w:val="yellow"/>
        </w:rPr>
      </w:pPr>
    </w:p>
    <w:p w14:paraId="181C4588" w14:textId="77777777" w:rsidR="007C3296" w:rsidRPr="0090435E"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Making Up Work and Late Work</w:t>
      </w:r>
    </w:p>
    <w:p w14:paraId="0FA43745" w14:textId="6291C211" w:rsidR="007C3296" w:rsidRDefault="007C3296" w:rsidP="007C3296">
      <w:pPr>
        <w:numPr>
          <w:ilvl w:val="0"/>
          <w:numId w:val="2"/>
        </w:numPr>
        <w:spacing w:after="0"/>
        <w:contextualSpacing/>
        <w:jc w:val="both"/>
        <w:rPr>
          <w:rFonts w:asciiTheme="majorBidi" w:eastAsiaTheme="minorHAnsi" w:hAnsiTheme="majorBidi" w:cstheme="majorBidi"/>
          <w:szCs w:val="24"/>
        </w:rPr>
      </w:pPr>
      <w:r w:rsidRPr="001B157B">
        <w:rPr>
          <w:rFonts w:asciiTheme="majorBidi" w:eastAsiaTheme="minorHAnsi" w:hAnsiTheme="majorBidi" w:cstheme="majorBidi"/>
          <w:szCs w:val="24"/>
        </w:rPr>
        <w:t xml:space="preserve">Even if you miss class, please try to </w:t>
      </w:r>
      <w:r w:rsidRPr="001B157B">
        <w:rPr>
          <w:rFonts w:asciiTheme="majorBidi" w:eastAsiaTheme="minorHAnsi" w:hAnsiTheme="majorBidi" w:cstheme="majorBidi"/>
          <w:b/>
          <w:bCs/>
          <w:szCs w:val="24"/>
        </w:rPr>
        <w:t>turn in any assigned work</w:t>
      </w:r>
      <w:r w:rsidRPr="001B157B">
        <w:rPr>
          <w:rFonts w:asciiTheme="majorBidi" w:eastAsiaTheme="minorHAnsi" w:hAnsiTheme="majorBidi" w:cstheme="majorBidi"/>
          <w:szCs w:val="24"/>
        </w:rPr>
        <w:t xml:space="preserve">.  </w:t>
      </w:r>
      <w:r w:rsidR="007A7200">
        <w:rPr>
          <w:rFonts w:asciiTheme="majorBidi" w:eastAsiaTheme="minorHAnsi" w:hAnsiTheme="majorBidi" w:cstheme="majorBidi"/>
          <w:szCs w:val="24"/>
        </w:rPr>
        <w:t>E</w:t>
      </w:r>
      <w:r w:rsidRPr="001B157B">
        <w:rPr>
          <w:rFonts w:asciiTheme="majorBidi" w:eastAsiaTheme="minorHAnsi" w:hAnsiTheme="majorBidi" w:cstheme="majorBidi"/>
          <w:szCs w:val="24"/>
        </w:rPr>
        <w:t>mail it to me.  To get full points, turn it in on the day that it was due.</w:t>
      </w:r>
    </w:p>
    <w:p w14:paraId="29E902C5" w14:textId="5BC21918" w:rsidR="007C3296" w:rsidRPr="001B157B" w:rsidRDefault="007C3296" w:rsidP="007C3296">
      <w:pPr>
        <w:numPr>
          <w:ilvl w:val="0"/>
          <w:numId w:val="2"/>
        </w:numPr>
        <w:spacing w:after="0"/>
        <w:contextualSpacing/>
        <w:jc w:val="both"/>
        <w:rPr>
          <w:rFonts w:asciiTheme="majorBidi" w:eastAsiaTheme="minorHAnsi" w:hAnsiTheme="majorBidi" w:cstheme="majorBidi"/>
          <w:szCs w:val="24"/>
        </w:rPr>
      </w:pPr>
      <w:r>
        <w:rPr>
          <w:rFonts w:asciiTheme="majorBidi" w:eastAsiaTheme="minorHAnsi" w:hAnsiTheme="majorBidi" w:cstheme="majorBidi"/>
          <w:szCs w:val="24"/>
        </w:rPr>
        <w:t xml:space="preserve">For missed in-class activities, I may substitute an alternative assignment. The alternative assignment will, in general, be more difficult than </w:t>
      </w:r>
      <w:r w:rsidR="007A7200">
        <w:rPr>
          <w:rFonts w:asciiTheme="majorBidi" w:eastAsiaTheme="minorHAnsi" w:hAnsiTheme="majorBidi" w:cstheme="majorBidi"/>
          <w:szCs w:val="24"/>
        </w:rPr>
        <w:t>the version done in class</w:t>
      </w:r>
      <w:r>
        <w:rPr>
          <w:rFonts w:asciiTheme="majorBidi" w:eastAsiaTheme="minorHAnsi" w:hAnsiTheme="majorBidi" w:cstheme="majorBidi"/>
          <w:szCs w:val="24"/>
        </w:rPr>
        <w:t>.</w:t>
      </w:r>
    </w:p>
    <w:p w14:paraId="6B1C1BF3" w14:textId="77777777" w:rsidR="007C3296" w:rsidRPr="001B157B" w:rsidRDefault="007C3296" w:rsidP="007C3296">
      <w:pPr>
        <w:numPr>
          <w:ilvl w:val="0"/>
          <w:numId w:val="2"/>
        </w:numPr>
        <w:spacing w:after="0"/>
        <w:contextualSpacing/>
        <w:jc w:val="both"/>
        <w:rPr>
          <w:rFonts w:asciiTheme="majorBidi" w:eastAsiaTheme="minorHAnsi" w:hAnsiTheme="majorBidi" w:cstheme="majorBidi"/>
          <w:szCs w:val="24"/>
        </w:rPr>
      </w:pPr>
      <w:r w:rsidRPr="001B157B">
        <w:rPr>
          <w:rFonts w:asciiTheme="majorBidi" w:eastAsiaTheme="minorHAnsi" w:hAnsiTheme="majorBidi" w:cstheme="majorBidi"/>
          <w:szCs w:val="24"/>
        </w:rPr>
        <w:t>If assignments are one day late, there will be a 10% penalty; if assignments are two days late, there will be a 20% penalty; and so on. Sunday does not count toward days late since I will not be grading on that day.</w:t>
      </w:r>
    </w:p>
    <w:p w14:paraId="3069380F" w14:textId="77777777" w:rsidR="007C3296" w:rsidRPr="0090435E" w:rsidRDefault="007C3296" w:rsidP="007C3296">
      <w:pPr>
        <w:spacing w:after="0"/>
        <w:contextualSpacing/>
        <w:jc w:val="both"/>
        <w:rPr>
          <w:rFonts w:asciiTheme="majorBidi" w:eastAsiaTheme="minorHAnsi" w:hAnsiTheme="majorBidi" w:cstheme="majorBidi"/>
          <w:szCs w:val="24"/>
        </w:rPr>
      </w:pPr>
      <w:r w:rsidRPr="0090435E">
        <w:rPr>
          <w:rFonts w:asciiTheme="majorBidi" w:eastAsiaTheme="minorHAnsi" w:hAnsiTheme="majorBidi" w:cstheme="majorBidi"/>
          <w:szCs w:val="24"/>
        </w:rPr>
        <w:tab/>
      </w:r>
    </w:p>
    <w:p w14:paraId="49FF4EBB" w14:textId="06EB538B" w:rsidR="002B74B7" w:rsidRDefault="002B74B7" w:rsidP="00F82CCE">
      <w:pPr>
        <w:rPr>
          <w:rFonts w:eastAsiaTheme="minorHAnsi" w:cs="Times New Roman"/>
          <w:b/>
          <w:bCs/>
          <w:smallCaps/>
          <w:szCs w:val="24"/>
        </w:rPr>
      </w:pPr>
      <w:r>
        <w:rPr>
          <w:rFonts w:eastAsiaTheme="minorHAnsi" w:cs="Times New Roman"/>
          <w:b/>
          <w:bCs/>
          <w:smallCaps/>
          <w:szCs w:val="24"/>
        </w:rPr>
        <w:t>Religious Accommodations</w:t>
      </w:r>
    </w:p>
    <w:p w14:paraId="627C4A60" w14:textId="77777777" w:rsidR="002B74B7" w:rsidRPr="00AF0A21" w:rsidRDefault="002B74B7" w:rsidP="002B74B7">
      <w:r w:rsidRPr="00AF0A21">
        <w:t>Washington state law requires that UW develop a policy for accommodation of student absences</w:t>
      </w:r>
      <w:r w:rsidRPr="00AF0A21">
        <w:br/>
        <w:t>or significant hardship due to reasons of faith or conscience, or for organized religious activities.</w:t>
      </w:r>
      <w:r w:rsidRPr="00AF0A21">
        <w:br/>
        <w:t>The UW’s policy, including more information about how to request an accommodation, is</w:t>
      </w:r>
      <w:r w:rsidRPr="00AF0A21">
        <w:br/>
        <w:t>available at Religious Accommodations Policy</w:t>
      </w:r>
      <w:r>
        <w:t xml:space="preserve"> </w:t>
      </w:r>
      <w:r w:rsidRPr="00AF0A21">
        <w:t>(</w:t>
      </w:r>
      <w:r w:rsidRPr="00AF0A21">
        <w:rPr>
          <w:color w:val="2F5496" w:themeColor="accent1" w:themeShade="BF"/>
        </w:rPr>
        <w:t>https://registrar.washington.edu/staffandfaculty/religious-accommodations-policy/</w:t>
      </w:r>
      <w:r w:rsidRPr="00AF0A21">
        <w:t>). Accommodations must be requested within the first two weeks of this course</w:t>
      </w:r>
      <w:r w:rsidRPr="00AF0A21">
        <w:br/>
        <w:t>using the Religious Accommodations Request form</w:t>
      </w:r>
      <w:r w:rsidRPr="00AF0A21">
        <w:br/>
        <w:t>(</w:t>
      </w:r>
      <w:r w:rsidRPr="00AF0A21">
        <w:rPr>
          <w:color w:val="2F5496" w:themeColor="accent1" w:themeShade="BF"/>
        </w:rPr>
        <w:t>https://registrar.washington.edu/students/religious-accommodations-request/</w:t>
      </w:r>
      <w:r w:rsidRPr="00AF0A21">
        <w:t>).</w:t>
      </w:r>
    </w:p>
    <w:p w14:paraId="4F9857D0" w14:textId="77777777" w:rsidR="007C3296" w:rsidRPr="0025581D"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Incompletes</w:t>
      </w:r>
    </w:p>
    <w:p w14:paraId="226DA187"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Course grades of “incomplete” can only be offered under specific circumstances. See the UW information page here:</w:t>
      </w:r>
      <w:r w:rsidRPr="0090435E">
        <w:t xml:space="preserve"> </w:t>
      </w:r>
      <w:hyperlink r:id="rId8" w:history="1">
        <w:r w:rsidRPr="0090435E">
          <w:rPr>
            <w:rFonts w:asciiTheme="majorBidi" w:eastAsiaTheme="minorHAnsi" w:hAnsiTheme="majorBidi" w:cstheme="majorBidi"/>
            <w:color w:val="0563C1" w:themeColor="hyperlink"/>
            <w:szCs w:val="24"/>
            <w:u w:val="single"/>
          </w:rPr>
          <w:t>https://registrar.washington.edu/students/incomplete-grades/</w:t>
        </w:r>
      </w:hyperlink>
      <w:r w:rsidRPr="0090435E">
        <w:rPr>
          <w:rFonts w:asciiTheme="majorBidi" w:eastAsiaTheme="minorHAnsi" w:hAnsiTheme="majorBidi" w:cstheme="majorBidi"/>
          <w:szCs w:val="24"/>
        </w:rPr>
        <w:t xml:space="preserve">  </w:t>
      </w:r>
    </w:p>
    <w:p w14:paraId="62DA7F26" w14:textId="77777777" w:rsidR="007C3296" w:rsidRPr="0090435E" w:rsidRDefault="007C3296" w:rsidP="007C3296">
      <w:pPr>
        <w:spacing w:after="0"/>
        <w:jc w:val="both"/>
        <w:rPr>
          <w:rFonts w:asciiTheme="majorBidi" w:eastAsiaTheme="minorHAnsi" w:hAnsiTheme="majorBidi" w:cstheme="majorBidi"/>
          <w:b/>
          <w:bCs/>
          <w:smallCaps/>
          <w:szCs w:val="24"/>
        </w:rPr>
      </w:pPr>
    </w:p>
    <w:p w14:paraId="734CBD1A" w14:textId="77777777" w:rsidR="007C3296" w:rsidRPr="0090435E"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Advising</w:t>
      </w:r>
    </w:p>
    <w:p w14:paraId="61FF88A7" w14:textId="77777777" w:rsidR="007C3296" w:rsidRPr="0090435E" w:rsidRDefault="007C3296" w:rsidP="007C3296">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 xml:space="preserve">College of Arts and Sciences advising is now being handled by the Humanities Academic Services. </w:t>
      </w:r>
      <w:r>
        <w:rPr>
          <w:rFonts w:asciiTheme="majorBidi" w:eastAsiaTheme="minorHAnsi" w:hAnsiTheme="majorBidi" w:cstheme="majorBidi"/>
          <w:szCs w:val="24"/>
        </w:rPr>
        <w:t xml:space="preserve">They are happy to answer your questions! </w:t>
      </w:r>
      <w:r w:rsidRPr="0090435E">
        <w:rPr>
          <w:rFonts w:asciiTheme="majorBidi" w:eastAsiaTheme="minorHAnsi" w:hAnsiTheme="majorBidi" w:cstheme="majorBidi"/>
          <w:szCs w:val="24"/>
        </w:rPr>
        <w:t xml:space="preserve">Find them at </w:t>
      </w:r>
      <w:hyperlink r:id="rId9" w:history="1">
        <w:r w:rsidRPr="0090435E">
          <w:rPr>
            <w:rFonts w:asciiTheme="majorBidi" w:eastAsiaTheme="minorHAnsi" w:hAnsiTheme="majorBidi" w:cstheme="majorBidi"/>
            <w:color w:val="0563C1" w:themeColor="hyperlink"/>
            <w:szCs w:val="24"/>
            <w:u w:val="single"/>
          </w:rPr>
          <w:t>https://hasc.washington.edu/</w:t>
        </w:r>
      </w:hyperlink>
      <w:r w:rsidRPr="0090435E">
        <w:rPr>
          <w:rFonts w:asciiTheme="majorBidi" w:eastAsiaTheme="minorHAnsi" w:hAnsiTheme="majorBidi" w:cstheme="majorBidi"/>
          <w:szCs w:val="24"/>
        </w:rPr>
        <w:t xml:space="preserve"> or email them at </w:t>
      </w:r>
      <w:hyperlink r:id="rId10" w:history="1">
        <w:r w:rsidRPr="0090435E">
          <w:rPr>
            <w:rFonts w:asciiTheme="majorBidi" w:eastAsiaTheme="minorHAnsi" w:hAnsiTheme="majorBidi" w:cstheme="majorBidi"/>
            <w:color w:val="0563C1" w:themeColor="hyperlink"/>
            <w:szCs w:val="24"/>
            <w:u w:val="single"/>
          </w:rPr>
          <w:t>has-center@uw.edu</w:t>
        </w:r>
      </w:hyperlink>
      <w:r w:rsidRPr="0090435E">
        <w:rPr>
          <w:rFonts w:asciiTheme="majorBidi" w:eastAsiaTheme="minorHAnsi" w:hAnsiTheme="majorBidi" w:cstheme="majorBidi"/>
          <w:szCs w:val="24"/>
        </w:rPr>
        <w:t xml:space="preserve">. </w:t>
      </w:r>
    </w:p>
    <w:p w14:paraId="232A5266" w14:textId="77777777" w:rsidR="007C3296" w:rsidRPr="0090435E" w:rsidRDefault="007C3296" w:rsidP="007C3296">
      <w:pPr>
        <w:spacing w:after="0"/>
        <w:jc w:val="both"/>
        <w:rPr>
          <w:rFonts w:asciiTheme="majorBidi" w:eastAsiaTheme="minorHAnsi" w:hAnsiTheme="majorBidi" w:cstheme="majorBidi"/>
          <w:b/>
          <w:bCs/>
          <w:smallCaps/>
          <w:szCs w:val="24"/>
        </w:rPr>
      </w:pPr>
    </w:p>
    <w:p w14:paraId="29A7E3D4" w14:textId="77777777" w:rsidR="007C3296"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Electronic Devices Policy</w:t>
      </w:r>
    </w:p>
    <w:p w14:paraId="28DC0E83" w14:textId="77777777" w:rsidR="007C3296" w:rsidRDefault="007C3296" w:rsidP="007C3296">
      <w:r>
        <w:t>Everyone should have their best possible chance to learn. Using electronic devices for non-academic tasks during class is distracting both to you and to those around you.</w:t>
      </w:r>
    </w:p>
    <w:p w14:paraId="1D2590E8" w14:textId="77777777" w:rsidR="007C3296" w:rsidRPr="001B157B" w:rsidRDefault="007C3296" w:rsidP="007C3296">
      <w:pPr>
        <w:pStyle w:val="ListParagraph"/>
        <w:numPr>
          <w:ilvl w:val="0"/>
          <w:numId w:val="4"/>
        </w:numPr>
        <w:rPr>
          <w:rFonts w:cs="Times New Roman"/>
          <w:b/>
          <w:bCs/>
          <w:smallCaps/>
        </w:rPr>
      </w:pPr>
      <w:r w:rsidRPr="0090435E">
        <w:t>Please don’t use cell phones during class.  Phones should be off or silenced.</w:t>
      </w:r>
    </w:p>
    <w:p w14:paraId="4534DB8A" w14:textId="77777777" w:rsidR="007C3296" w:rsidRPr="001B157B" w:rsidRDefault="007C3296" w:rsidP="007C3296">
      <w:pPr>
        <w:pStyle w:val="ListParagraph"/>
        <w:numPr>
          <w:ilvl w:val="0"/>
          <w:numId w:val="4"/>
        </w:numPr>
        <w:rPr>
          <w:rFonts w:cs="Times New Roman"/>
        </w:rPr>
      </w:pPr>
      <w:r w:rsidRPr="001B157B">
        <w:rPr>
          <w:rFonts w:cs="Times New Roman"/>
        </w:rPr>
        <w:lastRenderedPageBreak/>
        <w:t>Laptops may be used to take notes or to view course materials. Students who are distracting themselves and others with non-academic uses of their laptops will not receive participation points for that class period.</w:t>
      </w:r>
    </w:p>
    <w:p w14:paraId="17D70D02" w14:textId="77777777" w:rsidR="007C3296" w:rsidRPr="0025581D"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Academic Honesty and Conduct</w:t>
      </w:r>
    </w:p>
    <w:p w14:paraId="301AD155" w14:textId="7440966A" w:rsidR="007C3296" w:rsidRPr="0090435E" w:rsidRDefault="007C3296" w:rsidP="007C3296">
      <w:pPr>
        <w:numPr>
          <w:ilvl w:val="0"/>
          <w:numId w:val="1"/>
        </w:numPr>
        <w:suppressAutoHyphens/>
        <w:spacing w:after="0" w:line="240" w:lineRule="auto"/>
        <w:contextualSpacing/>
        <w:rPr>
          <w:rFonts w:eastAsia="Times New Roman" w:cs="Times New Roman"/>
          <w:smallCaps/>
          <w:szCs w:val="24"/>
          <w:lang w:bidi="ar-SA"/>
        </w:rPr>
      </w:pPr>
      <w:r w:rsidRPr="0090435E">
        <w:rPr>
          <w:rFonts w:eastAsia="Times New Roman" w:cs="Times New Roman"/>
          <w:szCs w:val="24"/>
          <w:lang w:bidi="ar-SA"/>
        </w:rPr>
        <w:t xml:space="preserve">Students are expected to treat their classmates and instructors with honesty and respect throughout the course. </w:t>
      </w:r>
      <w:r w:rsidRPr="007C3296">
        <w:rPr>
          <w:rFonts w:eastAsia="Times New Roman" w:cs="Times New Roman"/>
          <w:b/>
          <w:bCs/>
          <w:szCs w:val="24"/>
          <w:lang w:bidi="ar-SA"/>
        </w:rPr>
        <w:t xml:space="preserve">All exam answers, homework assignments, posters, and so on must reflect original </w:t>
      </w:r>
      <w:r w:rsidR="007A7200">
        <w:rPr>
          <w:rFonts w:eastAsia="Times New Roman" w:cs="Times New Roman"/>
          <w:b/>
          <w:bCs/>
          <w:szCs w:val="24"/>
          <w:lang w:bidi="ar-SA"/>
        </w:rPr>
        <w:t xml:space="preserve">(or correctly cited) </w:t>
      </w:r>
      <w:r w:rsidRPr="007C3296">
        <w:rPr>
          <w:rFonts w:eastAsia="Times New Roman" w:cs="Times New Roman"/>
          <w:b/>
          <w:bCs/>
          <w:szCs w:val="24"/>
          <w:lang w:bidi="ar-SA"/>
        </w:rPr>
        <w:t>work. No form of cheating will be tolerated</w:t>
      </w:r>
      <w:r w:rsidRPr="0090435E">
        <w:rPr>
          <w:rFonts w:eastAsia="Times New Roman" w:cs="Times New Roman"/>
          <w:szCs w:val="24"/>
          <w:lang w:bidi="ar-SA"/>
        </w:rPr>
        <w:t xml:space="preserve">. The following link has information on academic honesty, plagiarism, and consequences: </w:t>
      </w:r>
      <w:r w:rsidRPr="0090435E">
        <w:rPr>
          <w:rFonts w:eastAsia="Times New Roman" w:cs="Times New Roman"/>
          <w:color w:val="0000FF"/>
          <w:szCs w:val="24"/>
          <w:lang w:bidi="ar-SA"/>
        </w:rPr>
        <w:t xml:space="preserve">http://www.washington.edu/uaa/gateway/advising/help/academichonesty.php </w:t>
      </w:r>
    </w:p>
    <w:p w14:paraId="0FDD67EC" w14:textId="77777777" w:rsidR="007C3296" w:rsidRPr="0090435E" w:rsidRDefault="007C3296" w:rsidP="007C3296">
      <w:pPr>
        <w:numPr>
          <w:ilvl w:val="0"/>
          <w:numId w:val="1"/>
        </w:numPr>
        <w:suppressAutoHyphens/>
        <w:spacing w:after="0" w:line="240" w:lineRule="auto"/>
        <w:contextualSpacing/>
        <w:rPr>
          <w:rFonts w:eastAsia="Times New Roman" w:cs="Times New Roman"/>
          <w:color w:val="000000"/>
          <w:szCs w:val="24"/>
          <w:lang w:bidi="ar-SA"/>
        </w:rPr>
      </w:pPr>
      <w:r w:rsidRPr="0090435E">
        <w:rPr>
          <w:rFonts w:eastAsia="Times New Roman" w:cs="Times New Roman"/>
          <w:szCs w:val="24"/>
          <w:lang w:bidi="ar-SA"/>
        </w:rPr>
        <w:t xml:space="preserve">Student are expected to adhere to the University of Washington Code of Student Conduct which can be found at the following link: </w:t>
      </w:r>
      <w:hyperlink r:id="rId11" w:tgtFrame="_blank" w:history="1">
        <w:r>
          <w:rPr>
            <w:rStyle w:val="Hyperlink"/>
          </w:rPr>
          <w:t>https://www.washington.edu/cssc/for-students/student-code-of-conduct/</w:t>
        </w:r>
      </w:hyperlink>
    </w:p>
    <w:p w14:paraId="3BE88B7F" w14:textId="77777777" w:rsidR="007C3296" w:rsidRPr="0090435E" w:rsidRDefault="007C3296" w:rsidP="007C3296">
      <w:pPr>
        <w:numPr>
          <w:ilvl w:val="0"/>
          <w:numId w:val="1"/>
        </w:numPr>
        <w:suppressAutoHyphens/>
        <w:spacing w:after="0" w:line="240" w:lineRule="auto"/>
        <w:contextualSpacing/>
        <w:rPr>
          <w:rFonts w:eastAsia="Times New Roman" w:cs="Times New Roman"/>
          <w:color w:val="000000"/>
          <w:szCs w:val="24"/>
          <w:lang w:bidi="ar-SA"/>
        </w:rPr>
      </w:pPr>
      <w:r w:rsidRPr="0090435E">
        <w:rPr>
          <w:rFonts w:eastAsia="Times New Roman" w:cs="Times New Roman"/>
          <w:color w:val="000000"/>
          <w:szCs w:val="24"/>
          <w:lang w:bidi="ar-SA"/>
        </w:rPr>
        <w:t xml:space="preserve">The University of Washington is committed to fostering an environment where the free exchange of ideas is an integral part of the academic learning environment. Disruption of classroom discussions can prohibit other students from fully engaging and participating. Any student causing disruption may be asked to leave any class session, and, depending on the severity and frequency of that behavior, an incident report may be filled with Community Standards and Student Conduct. As a condition of enrollment, all students assume responsibility to observe standards of conduct that will contribute to the pursuit of academic goals and to the welfare of the academic community. For more detailed information on these standards, please visit: </w:t>
      </w:r>
      <w:hyperlink r:id="rId12" w:history="1">
        <w:r w:rsidRPr="0090435E">
          <w:rPr>
            <w:color w:val="0563C1" w:themeColor="hyperlink"/>
            <w:u w:val="single"/>
            <w:lang w:bidi="ar-SA"/>
          </w:rPr>
          <w:t>http://apps.leg.wa.gov/WAC/default.aspx?cite=478-120</w:t>
        </w:r>
      </w:hyperlink>
    </w:p>
    <w:p w14:paraId="633C5AE8" w14:textId="77777777" w:rsidR="007C3296" w:rsidRPr="0090435E" w:rsidRDefault="007C3296" w:rsidP="007C3296">
      <w:pPr>
        <w:spacing w:after="0" w:line="240" w:lineRule="auto"/>
        <w:ind w:left="720" w:hanging="720"/>
        <w:textAlignment w:val="baseline"/>
        <w:rPr>
          <w:rFonts w:eastAsia="Times New Roman" w:cs="Times New Roman"/>
          <w:b/>
          <w:bCs/>
          <w:smallCaps/>
          <w:color w:val="000000"/>
          <w:szCs w:val="24"/>
        </w:rPr>
      </w:pPr>
    </w:p>
    <w:p w14:paraId="1D7852F8" w14:textId="77777777" w:rsidR="007C3296" w:rsidRPr="0025581D"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Disability and Accessibility</w:t>
      </w:r>
    </w:p>
    <w:p w14:paraId="2C13C205" w14:textId="77777777" w:rsidR="007C3296" w:rsidRPr="0090435E" w:rsidRDefault="007C3296" w:rsidP="007C3296">
      <w:pPr>
        <w:numPr>
          <w:ilvl w:val="0"/>
          <w:numId w:val="1"/>
        </w:numPr>
        <w:spacing w:after="240" w:line="240" w:lineRule="auto"/>
        <w:jc w:val="both"/>
        <w:rPr>
          <w:rFonts w:eastAsia="Times New Roman" w:cs="Times New Roman"/>
          <w:szCs w:val="24"/>
        </w:rPr>
      </w:pPr>
      <w:r w:rsidRPr="0090435E">
        <w:rPr>
          <w:rFonts w:eastAsia="Times New Roman" w:cs="Times New Roman"/>
          <w:color w:val="000000"/>
          <w:szCs w:val="24"/>
        </w:rPr>
        <w:t>Your experience in this class is important to me. If you have already established accommodations with Disability Resources for Students (DRS), please communicate your approved accommodations to me at your earliest convenience so that we can discuss your needs in this course.</w:t>
      </w:r>
    </w:p>
    <w:p w14:paraId="0D071010" w14:textId="740B5E2E" w:rsidR="007C3296" w:rsidRPr="0090435E" w:rsidRDefault="007C3296" w:rsidP="007C3296">
      <w:pPr>
        <w:numPr>
          <w:ilvl w:val="0"/>
          <w:numId w:val="1"/>
        </w:numPr>
        <w:spacing w:before="240" w:after="240" w:line="240" w:lineRule="auto"/>
        <w:jc w:val="both"/>
        <w:rPr>
          <w:rFonts w:eastAsia="Times New Roman" w:cs="Times New Roman"/>
          <w:color w:val="000000"/>
          <w:szCs w:val="24"/>
        </w:rPr>
      </w:pPr>
      <w:r w:rsidRPr="0090435E">
        <w:rPr>
          <w:rFonts w:eastAsia="Times New Roman" w:cs="Times New Roman"/>
          <w:color w:val="000000"/>
          <w:szCs w:val="24"/>
        </w:rPr>
        <w:t>If you have not yet established services through DRS, but have a temporary health condition or permanent disability that requires accommodations (conditions include but</w:t>
      </w:r>
      <w:r>
        <w:rPr>
          <w:rFonts w:eastAsia="Times New Roman" w:cs="Times New Roman"/>
          <w:color w:val="000000"/>
          <w:szCs w:val="24"/>
        </w:rPr>
        <w:t xml:space="preserve"> are</w:t>
      </w:r>
      <w:r w:rsidRPr="0090435E">
        <w:rPr>
          <w:rFonts w:eastAsia="Times New Roman" w:cs="Times New Roman"/>
          <w:color w:val="000000"/>
          <w:szCs w:val="24"/>
        </w:rPr>
        <w:t xml:space="preserve"> not limited to mental health, attention-related, learning, vision, hearing, physical or health impacts), you are welcome to contact DRS at 206-543-8924 or uwdrs@uw.edu or</w:t>
      </w:r>
      <w:hyperlink r:id="rId13" w:history="1">
        <w:r w:rsidRPr="0090435E">
          <w:rPr>
            <w:rFonts w:eastAsia="Times New Roman" w:cs="Times New Roman"/>
            <w:color w:val="000000"/>
            <w:szCs w:val="24"/>
            <w:u w:val="single"/>
          </w:rPr>
          <w:t xml:space="preserve"> </w:t>
        </w:r>
        <w:r w:rsidRPr="0090435E">
          <w:rPr>
            <w:rFonts w:eastAsia="Times New Roman" w:cs="Times New Roman"/>
            <w:color w:val="1155CC"/>
            <w:szCs w:val="24"/>
            <w:u w:val="single"/>
          </w:rPr>
          <w:t>disability.uw.edu.</w:t>
        </w:r>
      </w:hyperlink>
      <w:r w:rsidRPr="0090435E">
        <w:rPr>
          <w:rFonts w:eastAsia="Times New Roman" w:cs="Times New Roman"/>
          <w:color w:val="000000"/>
          <w:szCs w:val="24"/>
        </w:rPr>
        <w:t xml:space="preserve">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62FFEBE9" w14:textId="77777777" w:rsidR="007C3296" w:rsidRPr="0090435E" w:rsidRDefault="007C3296" w:rsidP="007C3296">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Safety and Wellbeing</w:t>
      </w:r>
    </w:p>
    <w:p w14:paraId="0F0A2908" w14:textId="77777777" w:rsidR="007C3296" w:rsidRPr="0090435E" w:rsidRDefault="007C3296" w:rsidP="007C3296">
      <w:pPr>
        <w:numPr>
          <w:ilvl w:val="0"/>
          <w:numId w:val="1"/>
        </w:numPr>
        <w:shd w:val="clear" w:color="auto" w:fill="FFFFFF"/>
        <w:spacing w:after="0" w:line="240" w:lineRule="auto"/>
        <w:rPr>
          <w:rFonts w:eastAsia="Times New Roman" w:cs="Times New Roman"/>
          <w:szCs w:val="24"/>
        </w:rPr>
      </w:pPr>
      <w:r w:rsidRPr="0090435E">
        <w:rPr>
          <w:rFonts w:eastAsia="Times New Roman" w:cs="Times New Roman"/>
          <w:szCs w:val="24"/>
          <w:shd w:val="clear" w:color="auto" w:fill="FFFFFF"/>
        </w:rPr>
        <w:t xml:space="preserve">Call SafeCampus at 206-685-7233 any time – no matter where you work or study – to anonymously discuss safety and well-being concerns for yourself or others. SafeCampus’s team will provide individualized support, while discussing short- and long-term solutions and connecting you with additional resources when requested. Find more information here: </w:t>
      </w:r>
      <w:hyperlink r:id="rId14" w:history="1">
        <w:r w:rsidRPr="0090435E">
          <w:rPr>
            <w:rFonts w:eastAsia="Times New Roman" w:cs="Times New Roman"/>
            <w:color w:val="0563C1" w:themeColor="hyperlink"/>
            <w:szCs w:val="24"/>
            <w:u w:val="single"/>
            <w:shd w:val="clear" w:color="auto" w:fill="FFFFFF"/>
          </w:rPr>
          <w:t>https://www.washington.edu/safecampus/</w:t>
        </w:r>
      </w:hyperlink>
    </w:p>
    <w:p w14:paraId="13D4D427" w14:textId="77777777" w:rsidR="007C3296" w:rsidRPr="0090435E" w:rsidRDefault="007C3296" w:rsidP="007C3296">
      <w:pPr>
        <w:numPr>
          <w:ilvl w:val="0"/>
          <w:numId w:val="1"/>
        </w:numPr>
        <w:shd w:val="clear" w:color="auto" w:fill="FFFFFF"/>
        <w:spacing w:after="0" w:line="240" w:lineRule="auto"/>
        <w:rPr>
          <w:rFonts w:eastAsia="Times New Roman" w:cs="Times New Roman"/>
          <w:szCs w:val="24"/>
        </w:rPr>
      </w:pPr>
      <w:r w:rsidRPr="0090435E">
        <w:rPr>
          <w:rFonts w:eastAsia="Times New Roman" w:cs="Times New Roman"/>
          <w:szCs w:val="24"/>
          <w:shd w:val="clear" w:color="auto" w:fill="FFFFFF"/>
        </w:rPr>
        <w:lastRenderedPageBreak/>
        <w:t>They can connect you with emergency food and shelter services if needed.</w:t>
      </w:r>
    </w:p>
    <w:p w14:paraId="66DB9124" w14:textId="77777777" w:rsidR="007C3296" w:rsidRPr="0090435E" w:rsidRDefault="007C3296" w:rsidP="007C3296">
      <w:pPr>
        <w:numPr>
          <w:ilvl w:val="0"/>
          <w:numId w:val="1"/>
        </w:numPr>
        <w:shd w:val="clear" w:color="auto" w:fill="FFFFFF"/>
        <w:spacing w:after="0" w:line="276" w:lineRule="auto"/>
        <w:rPr>
          <w:rFonts w:eastAsia="Times New Roman" w:cs="Times New Roman"/>
          <w:szCs w:val="24"/>
        </w:rPr>
      </w:pPr>
      <w:r w:rsidRPr="0090435E">
        <w:rPr>
          <w:rFonts w:eastAsia="Times New Roman" w:cs="Times New Roman"/>
          <w:szCs w:val="24"/>
        </w:rPr>
        <w:t>UW, through</w:t>
      </w:r>
      <w:hyperlink r:id="rId15" w:history="1">
        <w:r w:rsidRPr="0090435E">
          <w:rPr>
            <w:rFonts w:eastAsia="Times New Roman" w:cs="Times New Roman"/>
            <w:color w:val="0563C1" w:themeColor="hyperlink"/>
            <w:szCs w:val="24"/>
            <w:u w:val="single"/>
          </w:rPr>
          <w:t xml:space="preserve"> numerous policies</w:t>
        </w:r>
      </w:hyperlink>
      <w:r w:rsidRPr="0090435E">
        <w:rPr>
          <w:rFonts w:eastAsia="Times New Roman" w:cs="Times New Roman"/>
          <w:szCs w:val="24"/>
        </w:rPr>
        <w:t>, prohibits sex- and gender-based violence and harassment, and we expect students, faculty, and staff to act professionally and respectfully in all work, learning, and research environments.</w:t>
      </w:r>
    </w:p>
    <w:p w14:paraId="105BFC08" w14:textId="77777777" w:rsidR="007C3296" w:rsidRPr="0090435E" w:rsidRDefault="007C3296" w:rsidP="007C3296">
      <w:pPr>
        <w:numPr>
          <w:ilvl w:val="0"/>
          <w:numId w:val="1"/>
        </w:numPr>
        <w:shd w:val="clear" w:color="auto" w:fill="FFFFFF"/>
        <w:spacing w:after="0" w:line="276" w:lineRule="auto"/>
        <w:rPr>
          <w:rFonts w:eastAsia="Times New Roman" w:cs="Times New Roman"/>
          <w:szCs w:val="24"/>
        </w:rPr>
      </w:pPr>
      <w:r w:rsidRPr="0090435E">
        <w:rPr>
          <w:rFonts w:eastAsia="Times New Roman" w:cs="Times New Roman"/>
          <w:szCs w:val="24"/>
        </w:rPr>
        <w:t>For support, resources, and reporting options related to sex- and gender-based violence or harassment, visit the</w:t>
      </w:r>
      <w:hyperlink r:id="rId16" w:history="1">
        <w:r w:rsidRPr="0090435E">
          <w:rPr>
            <w:rFonts w:eastAsia="Times New Roman" w:cs="Times New Roman"/>
            <w:color w:val="0563C1" w:themeColor="hyperlink"/>
            <w:szCs w:val="24"/>
            <w:u w:val="single"/>
          </w:rPr>
          <w:t xml:space="preserve"> Know Your Rights &amp; Resources</w:t>
        </w:r>
      </w:hyperlink>
      <w:r w:rsidRPr="0090435E">
        <w:rPr>
          <w:rFonts w:eastAsia="Times New Roman" w:cs="Times New Roman"/>
          <w:szCs w:val="24"/>
        </w:rPr>
        <w:t xml:space="preserve"> guide on the UW Title IX webpage.</w:t>
      </w:r>
    </w:p>
    <w:p w14:paraId="33E06C3D" w14:textId="77777777" w:rsidR="007C3296" w:rsidRPr="0090435E" w:rsidRDefault="007C3296" w:rsidP="007C3296">
      <w:pPr>
        <w:numPr>
          <w:ilvl w:val="0"/>
          <w:numId w:val="1"/>
        </w:numPr>
        <w:shd w:val="clear" w:color="auto" w:fill="FFFFFF"/>
        <w:spacing w:after="220" w:line="276" w:lineRule="auto"/>
        <w:rPr>
          <w:rFonts w:eastAsia="Times New Roman" w:cs="Times New Roman"/>
          <w:szCs w:val="24"/>
        </w:rPr>
      </w:pPr>
      <w:r w:rsidRPr="0090435E">
        <w:rPr>
          <w:rFonts w:eastAsia="Times New Roman" w:cs="Times New Roman"/>
          <w:szCs w:val="24"/>
        </w:rPr>
        <w:t>Please know that if you choose to disclose information to me about sex- or gender-based violence or harassment, I will do my best to connect you (or the person who experienced the conduct) with resources and individuals who can best provide support and options. You can also access those resources directly.</w:t>
      </w:r>
    </w:p>
    <w:p w14:paraId="43A535E1" w14:textId="77777777" w:rsidR="007C3296" w:rsidRPr="0090435E" w:rsidRDefault="007C3296" w:rsidP="007C3296">
      <w:pPr>
        <w:numPr>
          <w:ilvl w:val="0"/>
          <w:numId w:val="3"/>
        </w:numPr>
        <w:shd w:val="clear" w:color="auto" w:fill="FFFFFF"/>
        <w:spacing w:after="0" w:line="276" w:lineRule="auto"/>
        <w:textAlignment w:val="baseline"/>
        <w:rPr>
          <w:rFonts w:eastAsia="Times New Roman" w:cs="Times New Roman"/>
          <w:szCs w:val="24"/>
        </w:rPr>
      </w:pPr>
      <w:r w:rsidRPr="0090435E">
        <w:rPr>
          <w:rFonts w:eastAsia="Times New Roman" w:cs="Times New Roman"/>
          <w:szCs w:val="24"/>
        </w:rPr>
        <w:t xml:space="preserve">Confidential: </w:t>
      </w:r>
      <w:hyperlink r:id="rId17" w:history="1">
        <w:r w:rsidRPr="0090435E">
          <w:rPr>
            <w:rFonts w:eastAsia="Times New Roman" w:cs="Times New Roman"/>
            <w:color w:val="0563C1" w:themeColor="hyperlink"/>
            <w:szCs w:val="24"/>
            <w:u w:val="single"/>
          </w:rPr>
          <w:t>Confidential advocates</w:t>
        </w:r>
      </w:hyperlink>
      <w:r w:rsidRPr="0090435E">
        <w:rPr>
          <w:rFonts w:eastAsia="Times New Roman" w:cs="Times New Roman"/>
          <w:szCs w:val="24"/>
        </w:rPr>
        <w:t xml:space="preserve"> will not share information with others unless given express permission by the person who has experienced the harm or when required by law.</w:t>
      </w:r>
    </w:p>
    <w:p w14:paraId="3410CAC9" w14:textId="77777777" w:rsidR="007C3296" w:rsidRPr="0090435E" w:rsidRDefault="007C3296" w:rsidP="007C3296">
      <w:pPr>
        <w:numPr>
          <w:ilvl w:val="0"/>
          <w:numId w:val="3"/>
        </w:numPr>
        <w:shd w:val="clear" w:color="auto" w:fill="FFFFFF"/>
        <w:spacing w:after="220" w:line="276" w:lineRule="auto"/>
        <w:textAlignment w:val="baseline"/>
        <w:rPr>
          <w:rFonts w:eastAsia="Times New Roman" w:cs="Times New Roman"/>
          <w:szCs w:val="24"/>
        </w:rPr>
      </w:pPr>
      <w:r w:rsidRPr="0090435E">
        <w:rPr>
          <w:rFonts w:eastAsia="Times New Roman" w:cs="Times New Roman"/>
          <w:szCs w:val="24"/>
        </w:rPr>
        <w:t xml:space="preserve">Private and/or anonymous: </w:t>
      </w:r>
      <w:hyperlink r:id="rId18" w:history="1">
        <w:r w:rsidRPr="0090435E">
          <w:rPr>
            <w:rFonts w:eastAsia="Times New Roman" w:cs="Times New Roman"/>
            <w:color w:val="0563C1" w:themeColor="hyperlink"/>
            <w:szCs w:val="24"/>
            <w:u w:val="single"/>
          </w:rPr>
          <w:t>SafeCampus</w:t>
        </w:r>
      </w:hyperlink>
      <w:r w:rsidRPr="0090435E">
        <w:rPr>
          <w:rFonts w:eastAsia="Times New Roman" w:cs="Times New Roman"/>
          <w:szCs w:val="24"/>
        </w:rPr>
        <w:t xml:space="preserve"> provides consultation and support and can connect you with additional resources if you want them.You can contact SafeCampus anonymously or share limited information when you call.</w:t>
      </w:r>
    </w:p>
    <w:p w14:paraId="034056E4" w14:textId="77777777" w:rsidR="007C3296" w:rsidRPr="0090435E" w:rsidRDefault="007C3296" w:rsidP="007C3296">
      <w:pPr>
        <w:shd w:val="clear" w:color="auto" w:fill="FFFFFF"/>
        <w:spacing w:after="0" w:line="276" w:lineRule="auto"/>
        <w:rPr>
          <w:rFonts w:eastAsia="Times New Roman" w:cs="Times New Roman"/>
          <w:szCs w:val="24"/>
        </w:rPr>
      </w:pPr>
      <w:r w:rsidRPr="0090435E">
        <w:rPr>
          <w:rFonts w:eastAsia="Times New Roman" w:cs="Times New Roman"/>
          <w:szCs w:val="24"/>
        </w:rPr>
        <w:t xml:space="preserve">Title IX website: </w:t>
      </w:r>
      <w:hyperlink r:id="rId19" w:history="1">
        <w:r w:rsidRPr="0090435E">
          <w:rPr>
            <w:rFonts w:eastAsia="Times New Roman" w:cs="Times New Roman"/>
            <w:color w:val="0563C1" w:themeColor="hyperlink"/>
            <w:szCs w:val="24"/>
            <w:u w:val="single"/>
          </w:rPr>
          <w:t>https://www.washington.edu/titleix/</w:t>
        </w:r>
      </w:hyperlink>
    </w:p>
    <w:p w14:paraId="56522272" w14:textId="77777777" w:rsidR="007C3296" w:rsidRPr="0090435E" w:rsidRDefault="007C3296" w:rsidP="007C3296">
      <w:pPr>
        <w:shd w:val="clear" w:color="auto" w:fill="FFFFFF"/>
        <w:spacing w:after="0" w:line="276" w:lineRule="auto"/>
        <w:rPr>
          <w:rFonts w:eastAsia="Times New Roman" w:cs="Times New Roman"/>
          <w:szCs w:val="24"/>
        </w:rPr>
      </w:pPr>
      <w:r w:rsidRPr="0090435E">
        <w:rPr>
          <w:rFonts w:eastAsia="Times New Roman" w:cs="Times New Roman"/>
          <w:szCs w:val="24"/>
        </w:rPr>
        <w:t xml:space="preserve">Support and help page: </w:t>
      </w:r>
      <w:hyperlink r:id="rId20" w:history="1">
        <w:r w:rsidRPr="0090435E">
          <w:rPr>
            <w:rFonts w:eastAsia="Times New Roman" w:cs="Times New Roman"/>
            <w:color w:val="0563C1" w:themeColor="hyperlink"/>
            <w:szCs w:val="24"/>
            <w:u w:val="single"/>
          </w:rPr>
          <w:t>https://www.washington.edu/titleix/resources/</w:t>
        </w:r>
      </w:hyperlink>
    </w:p>
    <w:p w14:paraId="28006368" w14:textId="77777777" w:rsidR="007C3296" w:rsidRPr="0090435E" w:rsidRDefault="007C3296" w:rsidP="007C3296">
      <w:pPr>
        <w:shd w:val="clear" w:color="auto" w:fill="FFFFFF"/>
        <w:spacing w:after="0" w:line="276" w:lineRule="auto"/>
        <w:rPr>
          <w:rFonts w:eastAsia="Times New Roman" w:cs="Times New Roman"/>
          <w:szCs w:val="24"/>
        </w:rPr>
      </w:pPr>
      <w:r w:rsidRPr="0090435E">
        <w:rPr>
          <w:rFonts w:eastAsia="Times New Roman" w:cs="Times New Roman"/>
          <w:szCs w:val="24"/>
        </w:rPr>
        <w:t xml:space="preserve">Confidential advocates: </w:t>
      </w:r>
      <w:hyperlink r:id="rId21" w:history="1">
        <w:r w:rsidRPr="0090435E">
          <w:rPr>
            <w:rFonts w:eastAsia="Times New Roman" w:cs="Times New Roman"/>
            <w:color w:val="0563C1" w:themeColor="hyperlink"/>
            <w:szCs w:val="24"/>
            <w:u w:val="single"/>
          </w:rPr>
          <w:t>https://www.washington.edu/sexualassault/support/advocacy/</w:t>
        </w:r>
      </w:hyperlink>
    </w:p>
    <w:p w14:paraId="31F25E28" w14:textId="77777777" w:rsidR="007C3296" w:rsidRPr="0090435E" w:rsidRDefault="007C3296" w:rsidP="007C3296">
      <w:pPr>
        <w:shd w:val="clear" w:color="auto" w:fill="FFFFFF"/>
        <w:spacing w:after="0" w:line="276" w:lineRule="auto"/>
        <w:rPr>
          <w:rFonts w:eastAsia="Times New Roman" w:cs="Times New Roman"/>
          <w:szCs w:val="24"/>
        </w:rPr>
      </w:pPr>
      <w:r w:rsidRPr="0090435E">
        <w:rPr>
          <w:rFonts w:eastAsia="Times New Roman" w:cs="Times New Roman"/>
          <w:szCs w:val="24"/>
        </w:rPr>
        <w:t xml:space="preserve">Officials Required to Report: </w:t>
      </w:r>
      <w:hyperlink r:id="rId22" w:history="1">
        <w:r w:rsidRPr="0090435E">
          <w:rPr>
            <w:rFonts w:eastAsia="Times New Roman" w:cs="Times New Roman"/>
            <w:color w:val="0563C1" w:themeColor="hyperlink"/>
            <w:szCs w:val="24"/>
            <w:u w:val="single"/>
          </w:rPr>
          <w:t>https://www.washington.edu/titleix/title-ix-officials-required-to-report/</w:t>
        </w:r>
      </w:hyperlink>
    </w:p>
    <w:p w14:paraId="3A12E20C" w14:textId="77777777" w:rsidR="007C3296" w:rsidRPr="0090435E" w:rsidRDefault="007C3296" w:rsidP="007C3296">
      <w:pPr>
        <w:shd w:val="clear" w:color="auto" w:fill="FFFFFF"/>
        <w:spacing w:after="0" w:line="276" w:lineRule="auto"/>
        <w:rPr>
          <w:rFonts w:eastAsia="Times New Roman" w:cs="Times New Roman"/>
          <w:szCs w:val="24"/>
        </w:rPr>
      </w:pPr>
      <w:r w:rsidRPr="0090435E">
        <w:rPr>
          <w:rFonts w:eastAsia="Times New Roman" w:cs="Times New Roman"/>
          <w:szCs w:val="24"/>
        </w:rPr>
        <w:t xml:space="preserve">Related policies: </w:t>
      </w:r>
      <w:hyperlink r:id="rId23" w:history="1">
        <w:r w:rsidRPr="0090435E">
          <w:rPr>
            <w:rFonts w:eastAsia="Times New Roman" w:cs="Times New Roman"/>
            <w:color w:val="0563C1" w:themeColor="hyperlink"/>
            <w:szCs w:val="24"/>
            <w:u w:val="single"/>
          </w:rPr>
          <w:t>https://www.washington.edu/titleix/policies/</w:t>
        </w:r>
      </w:hyperlink>
    </w:p>
    <w:p w14:paraId="0176C513" w14:textId="77777777" w:rsidR="007C3296" w:rsidRDefault="007C3296" w:rsidP="007C3296"/>
    <w:p w14:paraId="44730DCB" w14:textId="77777777" w:rsidR="007C3296" w:rsidRDefault="007C3296" w:rsidP="007C3296">
      <w:r w:rsidRPr="00D73ED4">
        <w:t>You can find information</w:t>
      </w:r>
      <w:r>
        <w:t xml:space="preserve"> </w:t>
      </w:r>
      <w:r w:rsidRPr="00D73ED4">
        <w:t xml:space="preserve">here about medical services </w:t>
      </w:r>
      <w:r>
        <w:t xml:space="preserve">and mental health support at UW: </w:t>
      </w:r>
      <w:hyperlink r:id="rId24" w:history="1">
        <w:r w:rsidRPr="00523E69">
          <w:rPr>
            <w:rStyle w:val="Hyperlink"/>
          </w:rPr>
          <w:t>http://wellbeing.uw.edu</w:t>
        </w:r>
      </w:hyperlink>
      <w:r>
        <w:t xml:space="preserve"> </w:t>
      </w:r>
    </w:p>
    <w:p w14:paraId="0CE4FED1" w14:textId="77777777" w:rsidR="007C3296" w:rsidRDefault="007C3296" w:rsidP="007C3296">
      <w:r w:rsidRPr="00AF0A21">
        <w:rPr>
          <w:rStyle w:val="Heading2Char"/>
          <w:rFonts w:ascii="Times New Roman" w:hAnsi="Times New Roman" w:cs="Times New Roman"/>
          <w:b/>
          <w:bCs/>
          <w:smallCaps/>
          <w:color w:val="auto"/>
          <w:sz w:val="24"/>
          <w:szCs w:val="24"/>
        </w:rPr>
        <w:t>Course Concerns</w:t>
      </w:r>
      <w:r w:rsidRPr="00AF0A21">
        <w:br/>
      </w:r>
      <w:r>
        <w:t>I</w:t>
      </w:r>
      <w:r w:rsidRPr="00AF0A21">
        <w:t xml:space="preserve">f you have any concerns about the class, </w:t>
      </w:r>
      <w:r>
        <w:t xml:space="preserve">please </w:t>
      </w:r>
      <w:r w:rsidRPr="00AF0A21">
        <w:t xml:space="preserve">try to resolve them first </w:t>
      </w:r>
      <w:r>
        <w:t xml:space="preserve">with your classroom instructor. </w:t>
      </w:r>
      <w:r w:rsidRPr="00AF0A21">
        <w:t xml:space="preserve">If the matter is not resolved that way, </w:t>
      </w:r>
      <w:r>
        <w:rPr>
          <w:rStyle w:val="xcontentpasted2"/>
        </w:rPr>
        <w:t>you may turn to the Chair of the MELC Department, Prof. Naomi Sokoloff (</w:t>
      </w:r>
      <w:hyperlink r:id="rId25" w:history="1">
        <w:r w:rsidRPr="00D865A1">
          <w:rPr>
            <w:rStyle w:val="Hyperlink"/>
          </w:rPr>
          <w:t>naosok@uw.edu</w:t>
        </w:r>
      </w:hyperlink>
      <w:r>
        <w:rPr>
          <w:rStyle w:val="xcontentpasted2"/>
        </w:rPr>
        <w:t xml:space="preserve">). </w:t>
      </w:r>
      <w:r>
        <w:t>T</w:t>
      </w:r>
      <w:r w:rsidRPr="00AF0A21">
        <w:t xml:space="preserve">here are </w:t>
      </w:r>
      <w:r>
        <w:t xml:space="preserve">also </w:t>
      </w:r>
      <w:r w:rsidRPr="00AF0A21">
        <w:t>other resources a</w:t>
      </w:r>
      <w:r>
        <w:t xml:space="preserve">vailable to students to resolve </w:t>
      </w:r>
      <w:r w:rsidRPr="00AF0A21">
        <w:t>complaints or grievances, including Humanities Academic Services</w:t>
      </w:r>
      <w:r>
        <w:t xml:space="preserve"> at </w:t>
      </w:r>
      <w:r w:rsidRPr="00AF0A21">
        <w:rPr>
          <w:color w:val="2F5496" w:themeColor="accent1" w:themeShade="BF"/>
        </w:rPr>
        <w:t>https://hasc.washington.edu/</w:t>
      </w:r>
      <w:r w:rsidRPr="00AF0A21">
        <w:t>, the Bias</w:t>
      </w:r>
      <w:r>
        <w:t xml:space="preserve"> Reporting Tool at</w:t>
      </w:r>
      <w:r w:rsidRPr="00AF0A21">
        <w:t xml:space="preserve"> </w:t>
      </w:r>
      <w:r w:rsidRPr="00AF0A21">
        <w:rPr>
          <w:color w:val="2F5496" w:themeColor="accent1" w:themeShade="BF"/>
        </w:rPr>
        <w:t>https://www.washington.edu/bias/</w:t>
      </w:r>
      <w:r>
        <w:t>, the Office of the Ombud at</w:t>
      </w:r>
      <w:r w:rsidRPr="00AF0A21">
        <w:t xml:space="preserve"> </w:t>
      </w:r>
      <w:r w:rsidRPr="00AF0A21">
        <w:rPr>
          <w:color w:val="2F5496" w:themeColor="accent1" w:themeShade="BF"/>
        </w:rPr>
        <w:t>https://www.washington.edu/ombud/</w:t>
      </w:r>
      <w:r w:rsidRPr="00AF0A21">
        <w:t xml:space="preserve">, the University </w:t>
      </w:r>
      <w:r>
        <w:t xml:space="preserve">Complaint and Resolution Office at </w:t>
      </w:r>
      <w:r w:rsidRPr="00AF0A21">
        <w:rPr>
          <w:color w:val="2F5496" w:themeColor="accent1" w:themeShade="BF"/>
        </w:rPr>
        <w:t>https://www.washington.edu/compliance/uciro/</w:t>
      </w:r>
      <w:r w:rsidRPr="00AF0A21">
        <w:t xml:space="preserve">, and Disability Resources, </w:t>
      </w:r>
      <w:r w:rsidRPr="00AF0A21">
        <w:rPr>
          <w:color w:val="2F5496" w:themeColor="accent1" w:themeShade="BF"/>
        </w:rPr>
        <w:t>https://depts.washington.edu/uwdrs/complaint-mediation/</w:t>
      </w:r>
      <w:r w:rsidRPr="00AF0A21">
        <w:t xml:space="preserve"> </w:t>
      </w:r>
      <w:r w:rsidRPr="00AF0A21">
        <w:br/>
      </w:r>
    </w:p>
    <w:p w14:paraId="48103D3D" w14:textId="77777777" w:rsidR="007C3296" w:rsidRDefault="007C3296" w:rsidP="007C3296">
      <w:r>
        <w:rPr>
          <w:rStyle w:val="Heading2Char"/>
          <w:rFonts w:ascii="Times New Roman" w:hAnsi="Times New Roman" w:cs="Times New Roman"/>
          <w:b/>
          <w:bCs/>
          <w:smallCaps/>
          <w:color w:val="auto"/>
          <w:sz w:val="24"/>
          <w:szCs w:val="24"/>
        </w:rPr>
        <w:t>Final Note</w:t>
      </w:r>
    </w:p>
    <w:p w14:paraId="320A3889" w14:textId="77777777" w:rsidR="007C3296" w:rsidRPr="0090435E" w:rsidRDefault="007C3296" w:rsidP="007C3296">
      <w:r w:rsidRPr="00AF0A21">
        <w:t>By enrolling in this class, you make a commitment to regular and consistent class participation.</w:t>
      </w:r>
      <w:r w:rsidRPr="00AF0A21">
        <w:br/>
        <w:t>Continued enrollment signifies that you have received a copy of this syllabus and that you have</w:t>
      </w:r>
      <w:r w:rsidRPr="00AF0A21">
        <w:br/>
      </w:r>
      <w:r w:rsidRPr="00AF0A21">
        <w:lastRenderedPageBreak/>
        <w:t>been notified of the requirements, examination schedule, and grading policies for the course.The</w:t>
      </w:r>
      <w:r w:rsidRPr="00AF0A21">
        <w:br/>
        <w:t xml:space="preserve">instructor reserves the right to revise this syllabus at any time during the quarter. </w:t>
      </w:r>
      <w:r>
        <w:t xml:space="preserve">This may involve adding or subtracting readings. </w:t>
      </w:r>
      <w:r w:rsidRPr="00AF0A21">
        <w:t>Students will be</w:t>
      </w:r>
      <w:r>
        <w:t xml:space="preserve"> </w:t>
      </w:r>
      <w:r w:rsidRPr="00AF0A21">
        <w:t>informed of the changes</w:t>
      </w:r>
      <w:r>
        <w:t>.</w:t>
      </w:r>
    </w:p>
    <w:p w14:paraId="4D279E69" w14:textId="77777777" w:rsidR="007C3296" w:rsidRPr="0090435E" w:rsidRDefault="007C3296" w:rsidP="007C3296">
      <w:r w:rsidRPr="0090435E">
        <w:br w:type="page"/>
      </w:r>
    </w:p>
    <w:p w14:paraId="03F4F64B" w14:textId="77777777" w:rsidR="007C3296" w:rsidRPr="0090435E" w:rsidRDefault="007C3296" w:rsidP="007C3296">
      <w:pPr>
        <w:pStyle w:val="Heading2"/>
        <w:rPr>
          <w:rFonts w:ascii="Times New Roman" w:hAnsi="Times New Roman" w:cs="Times New Roman"/>
          <w:b/>
          <w:bCs/>
          <w:color w:val="auto"/>
        </w:rPr>
      </w:pPr>
      <w:r w:rsidRPr="0090435E">
        <w:rPr>
          <w:rFonts w:ascii="Times New Roman" w:hAnsi="Times New Roman" w:cs="Times New Roman"/>
          <w:b/>
          <w:bCs/>
          <w:color w:val="auto"/>
        </w:rPr>
        <w:lastRenderedPageBreak/>
        <w:t>Course Schedule</w:t>
      </w:r>
    </w:p>
    <w:p w14:paraId="7F54020A" w14:textId="60398A2E" w:rsidR="007C3296" w:rsidRDefault="007C3296" w:rsidP="007C3296">
      <w:pPr>
        <w:spacing w:after="0"/>
        <w:rPr>
          <w:b/>
          <w:bCs/>
        </w:rPr>
      </w:pPr>
    </w:p>
    <w:p w14:paraId="1A76E426" w14:textId="75CF2781" w:rsidR="0018331E" w:rsidRDefault="0018331E" w:rsidP="0018331E">
      <w:pPr>
        <w:spacing w:after="0"/>
        <w:jc w:val="center"/>
        <w:rPr>
          <w:b/>
          <w:bCs/>
        </w:rPr>
      </w:pPr>
      <w:r>
        <w:rPr>
          <w:b/>
          <w:bCs/>
        </w:rPr>
        <w:t>Recommended Historical Readings</w:t>
      </w:r>
    </w:p>
    <w:p w14:paraId="30452DF2" w14:textId="739D026F" w:rsidR="0018331E" w:rsidRDefault="0018331E" w:rsidP="0018331E">
      <w:pPr>
        <w:spacing w:after="0"/>
        <w:jc w:val="both"/>
      </w:pPr>
      <w:r>
        <w:t>If you don’t have any background in the study of the ancient Middle East, you may want to familiarize yourself with the history using the readings on Canvas under the Recommended Historical Readings module.</w:t>
      </w:r>
    </w:p>
    <w:p w14:paraId="69734CF0" w14:textId="075B93B1" w:rsidR="0018331E" w:rsidRDefault="0018331E" w:rsidP="0018331E">
      <w:pPr>
        <w:spacing w:after="0"/>
        <w:jc w:val="both"/>
      </w:pPr>
    </w:p>
    <w:p w14:paraId="5F3DB47B" w14:textId="009E097E" w:rsidR="0018331E" w:rsidRPr="0018331E" w:rsidRDefault="0018331E" w:rsidP="0018331E">
      <w:pPr>
        <w:spacing w:after="0"/>
        <w:jc w:val="center"/>
        <w:rPr>
          <w:b/>
          <w:bCs/>
        </w:rPr>
      </w:pPr>
      <w:r w:rsidRPr="0018331E">
        <w:rPr>
          <w:b/>
          <w:bCs/>
        </w:rPr>
        <w:t>Required Readings and Assignments</w:t>
      </w:r>
    </w:p>
    <w:p w14:paraId="5859CF55" w14:textId="77777777" w:rsidR="0018331E" w:rsidRPr="0090435E" w:rsidRDefault="0018331E" w:rsidP="007C3296">
      <w:pPr>
        <w:spacing w:after="0"/>
        <w:rPr>
          <w:b/>
          <w:bCs/>
        </w:rPr>
      </w:pPr>
    </w:p>
    <w:p w14:paraId="54DF381C" w14:textId="01224585" w:rsidR="007C3296" w:rsidRPr="0090435E" w:rsidRDefault="007C3296" w:rsidP="007C3296">
      <w:pPr>
        <w:pStyle w:val="Heading3"/>
        <w:rPr>
          <w:rFonts w:ascii="Times New Roman" w:hAnsi="Times New Roman" w:cs="Times New Roman"/>
          <w:b/>
          <w:bCs/>
        </w:rPr>
      </w:pPr>
      <w:r w:rsidRPr="0090435E">
        <w:rPr>
          <w:rFonts w:ascii="Times New Roman" w:hAnsi="Times New Roman" w:cs="Times New Roman"/>
          <w:b/>
          <w:bCs/>
          <w:color w:val="auto"/>
        </w:rPr>
        <w:t>Week 1</w:t>
      </w:r>
      <w:r>
        <w:rPr>
          <w:rFonts w:ascii="Times New Roman" w:hAnsi="Times New Roman" w:cs="Times New Roman"/>
          <w:b/>
          <w:bCs/>
          <w:color w:val="auto"/>
        </w:rPr>
        <w:t xml:space="preserve">: </w:t>
      </w:r>
      <w:r w:rsidR="004A4F14">
        <w:rPr>
          <w:rFonts w:ascii="Times New Roman" w:hAnsi="Times New Roman" w:cs="Times New Roman"/>
          <w:b/>
          <w:bCs/>
          <w:color w:val="auto"/>
        </w:rPr>
        <w:t>Introduction</w:t>
      </w:r>
    </w:p>
    <w:p w14:paraId="12787B64" w14:textId="423F957F" w:rsidR="007C3296" w:rsidRDefault="007C3296" w:rsidP="007C3296">
      <w:pPr>
        <w:spacing w:after="0"/>
      </w:pPr>
      <w:r>
        <w:t>27 Mar</w:t>
      </w:r>
      <w:r>
        <w:tab/>
      </w:r>
      <w:r>
        <w:tab/>
        <w:t xml:space="preserve">Introduction to the course and the ancient </w:t>
      </w:r>
      <w:r w:rsidR="0018331E">
        <w:t>Middle</w:t>
      </w:r>
      <w:r>
        <w:t xml:space="preserve"> East</w:t>
      </w:r>
    </w:p>
    <w:p w14:paraId="3322706A" w14:textId="4C6FFB8B" w:rsidR="007C3296" w:rsidRDefault="007C3296" w:rsidP="007C3296">
      <w:pPr>
        <w:spacing w:after="0"/>
      </w:pPr>
      <w:r>
        <w:tab/>
      </w:r>
      <w:r>
        <w:tab/>
      </w:r>
      <w:r w:rsidRPr="0090435E">
        <w:rPr>
          <w:i/>
          <w:iCs/>
        </w:rPr>
        <w:t>Required readings</w:t>
      </w:r>
      <w:r>
        <w:t>: none</w:t>
      </w:r>
    </w:p>
    <w:p w14:paraId="4B3F581E" w14:textId="77777777" w:rsidR="007C3296" w:rsidRDefault="007C3296" w:rsidP="007C3296">
      <w:pPr>
        <w:spacing w:after="0"/>
      </w:pPr>
    </w:p>
    <w:p w14:paraId="02C1A547" w14:textId="2DFE41F7" w:rsidR="007C3296" w:rsidRDefault="007C3296" w:rsidP="007C3296">
      <w:pPr>
        <w:spacing w:after="0"/>
      </w:pPr>
      <w:r>
        <w:t>29 Mar</w:t>
      </w:r>
      <w:r>
        <w:tab/>
      </w:r>
      <w:r>
        <w:tab/>
      </w:r>
      <w:r w:rsidR="004A4F14">
        <w:t>Life, death and afterlife</w:t>
      </w:r>
    </w:p>
    <w:p w14:paraId="25318054" w14:textId="1FFB1ECC" w:rsidR="00425D58" w:rsidRPr="00061A52" w:rsidRDefault="007C3296" w:rsidP="00061A52">
      <w:pPr>
        <w:spacing w:after="0"/>
        <w:ind w:left="1440"/>
      </w:pPr>
      <w:r w:rsidRPr="001A0BBA">
        <w:rPr>
          <w:i/>
          <w:iCs/>
        </w:rPr>
        <w:t>Required readings</w:t>
      </w:r>
      <w:r>
        <w:t xml:space="preserve">: </w:t>
      </w:r>
      <w:r w:rsidR="00425D58">
        <w:t xml:space="preserve">“Definitions of Death,” “Afterlife in Cross-Cultural Perspective,” “Grief and Mourning in Cross-Cultural Perspective,” all </w:t>
      </w:r>
      <w:r w:rsidR="00061A52">
        <w:t xml:space="preserve">short articles </w:t>
      </w:r>
      <w:r w:rsidR="00425D58">
        <w:t xml:space="preserve">from </w:t>
      </w:r>
      <w:r w:rsidR="00425D58" w:rsidRPr="00425D58">
        <w:rPr>
          <w:i/>
          <w:iCs/>
        </w:rPr>
        <w:t>MEDD</w:t>
      </w:r>
      <w:r w:rsidR="00061A52">
        <w:rPr>
          <w:i/>
          <w:iCs/>
        </w:rPr>
        <w:t xml:space="preserve">, </w:t>
      </w:r>
      <w:r w:rsidR="00061A52">
        <w:t xml:space="preserve">and </w:t>
      </w:r>
      <w:r w:rsidR="00061A52" w:rsidRPr="00061A52">
        <w:rPr>
          <w:u w:val="single"/>
        </w:rPr>
        <w:t>Reading Questions</w:t>
      </w:r>
      <w:r w:rsidR="00C70F28">
        <w:rPr>
          <w:u w:val="single"/>
        </w:rPr>
        <w:t xml:space="preserve"> 1</w:t>
      </w:r>
    </w:p>
    <w:p w14:paraId="789B7258" w14:textId="072A52EC" w:rsidR="00B57412" w:rsidRPr="00B57412" w:rsidRDefault="00B57412" w:rsidP="00B57412">
      <w:pPr>
        <w:spacing w:after="0"/>
        <w:ind w:left="1440"/>
      </w:pPr>
      <w:r>
        <w:rPr>
          <w:i/>
          <w:iCs/>
        </w:rPr>
        <w:t xml:space="preserve">Grad students: </w:t>
      </w:r>
      <w:r>
        <w:t>Read also John Robb, “Burial Treatment as Transformations of Bodily Ideology</w:t>
      </w:r>
      <w:r w:rsidR="00061A52">
        <w:t>,</w:t>
      </w:r>
      <w:r>
        <w:t>”</w:t>
      </w:r>
      <w:r w:rsidR="00061A52">
        <w:t xml:space="preserve"> from </w:t>
      </w:r>
      <w:r w:rsidR="00061A52" w:rsidRPr="00061A52">
        <w:rPr>
          <w:i/>
          <w:iCs/>
        </w:rPr>
        <w:t>Performing Death</w:t>
      </w:r>
    </w:p>
    <w:p w14:paraId="25B06CBC" w14:textId="77777777" w:rsidR="007C3296" w:rsidRDefault="007C3296" w:rsidP="007C3296">
      <w:pPr>
        <w:spacing w:after="0"/>
      </w:pPr>
    </w:p>
    <w:p w14:paraId="7C4825A9" w14:textId="3B345D99" w:rsidR="007C3296" w:rsidRPr="0090435E" w:rsidRDefault="007C3296" w:rsidP="007C3296">
      <w:pPr>
        <w:spacing w:after="0"/>
        <w:rPr>
          <w:b/>
          <w:bCs/>
        </w:rPr>
      </w:pPr>
      <w:r>
        <w:rPr>
          <w:b/>
          <w:bCs/>
        </w:rPr>
        <w:t xml:space="preserve">Week 2: </w:t>
      </w:r>
      <w:r w:rsidR="008812B2">
        <w:rPr>
          <w:b/>
          <w:bCs/>
        </w:rPr>
        <w:t>Death in ancient Egypt I</w:t>
      </w:r>
    </w:p>
    <w:p w14:paraId="76D9BB87" w14:textId="71DC210E" w:rsidR="007C3296" w:rsidRDefault="007C3296" w:rsidP="007C3296">
      <w:pPr>
        <w:spacing w:after="0"/>
      </w:pPr>
      <w:r>
        <w:t>3 Apr</w:t>
      </w:r>
      <w:r>
        <w:tab/>
      </w:r>
      <w:r w:rsidR="00383EB9">
        <w:tab/>
        <w:t xml:space="preserve">The </w:t>
      </w:r>
      <w:r w:rsidR="004A4F14">
        <w:t>s</w:t>
      </w:r>
      <w:r w:rsidR="00383EB9">
        <w:t xml:space="preserve">tory of </w:t>
      </w:r>
      <w:r w:rsidR="004A4F14">
        <w:t>d</w:t>
      </w:r>
      <w:r w:rsidR="00383EB9">
        <w:t xml:space="preserve">eath in </w:t>
      </w:r>
      <w:r w:rsidR="004A4F14">
        <w:t>a</w:t>
      </w:r>
      <w:r w:rsidR="00383EB9">
        <w:t>ncient Egypt</w:t>
      </w:r>
    </w:p>
    <w:p w14:paraId="19FC230E" w14:textId="5B82D8FF" w:rsidR="007C3296" w:rsidRDefault="007C3296" w:rsidP="0091239D">
      <w:pPr>
        <w:spacing w:after="0"/>
        <w:ind w:left="720" w:hanging="720"/>
      </w:pPr>
      <w:r>
        <w:tab/>
      </w:r>
      <w:r>
        <w:tab/>
      </w:r>
      <w:r w:rsidRPr="0090435E">
        <w:rPr>
          <w:i/>
          <w:iCs/>
        </w:rPr>
        <w:t>Required readings</w:t>
      </w:r>
      <w:r>
        <w:t xml:space="preserve">: </w:t>
      </w:r>
      <w:r w:rsidR="00996768">
        <w:t xml:space="preserve">Darnell &amp; Darnell </w:t>
      </w:r>
      <w:r w:rsidR="00996768" w:rsidRPr="00996768">
        <w:rPr>
          <w:i/>
          <w:iCs/>
        </w:rPr>
        <w:t>Netherworld Books</w:t>
      </w:r>
      <w:r w:rsidR="00996768">
        <w:t xml:space="preserve"> “Introduction,” pages 4-15, 36-48; </w:t>
      </w:r>
      <w:r w:rsidR="0091239D">
        <w:t xml:space="preserve">Darnell &amp; Darnell </w:t>
      </w:r>
      <w:r w:rsidR="0091239D" w:rsidRPr="0091239D">
        <w:rPr>
          <w:i/>
          <w:iCs/>
        </w:rPr>
        <w:t>Netherworld Books</w:t>
      </w:r>
      <w:r w:rsidR="0091239D">
        <w:t xml:space="preserve"> “Book of Gates,” pages 286-295; Faulkner et al. </w:t>
      </w:r>
      <w:r w:rsidR="0091239D" w:rsidRPr="0091239D">
        <w:rPr>
          <w:i/>
          <w:iCs/>
        </w:rPr>
        <w:t>Book of the Dead</w:t>
      </w:r>
      <w:r w:rsidR="0091239D">
        <w:rPr>
          <w:i/>
          <w:iCs/>
        </w:rPr>
        <w:t>: Papyrus of Ani</w:t>
      </w:r>
      <w:r w:rsidR="0091239D">
        <w:t xml:space="preserve"> Chapter 125</w:t>
      </w:r>
      <w:r w:rsidR="00C70F28">
        <w:t xml:space="preserve">, and </w:t>
      </w:r>
      <w:r w:rsidR="00C70F28" w:rsidRPr="00C70F28">
        <w:rPr>
          <w:u w:val="single"/>
        </w:rPr>
        <w:t>Reading Questions 2</w:t>
      </w:r>
    </w:p>
    <w:p w14:paraId="78D9910C" w14:textId="77777777" w:rsidR="007C3296" w:rsidRDefault="007C3296" w:rsidP="007C3296">
      <w:pPr>
        <w:spacing w:after="0"/>
      </w:pPr>
    </w:p>
    <w:p w14:paraId="4D9E65B5" w14:textId="4EE8C755" w:rsidR="007C3296" w:rsidRDefault="007C3296" w:rsidP="007C3296">
      <w:pPr>
        <w:spacing w:after="0"/>
      </w:pPr>
      <w:r>
        <w:t>5 Apr</w:t>
      </w:r>
      <w:r>
        <w:tab/>
      </w:r>
      <w:r w:rsidR="000B395C">
        <w:tab/>
        <w:t>Pyramids and Pyramid Texts</w:t>
      </w:r>
      <w:r w:rsidR="00B45351">
        <w:t>, *Hierakonpolis</w:t>
      </w:r>
    </w:p>
    <w:p w14:paraId="50B09D68" w14:textId="2F2520A1" w:rsidR="007C3296" w:rsidRDefault="007C3296" w:rsidP="007C3296">
      <w:pPr>
        <w:spacing w:after="0"/>
        <w:ind w:left="720" w:hanging="720"/>
      </w:pPr>
      <w:r>
        <w:tab/>
      </w:r>
      <w:r>
        <w:tab/>
      </w:r>
      <w:r w:rsidRPr="0090435E">
        <w:rPr>
          <w:i/>
          <w:iCs/>
        </w:rPr>
        <w:t>Required readings</w:t>
      </w:r>
      <w:r>
        <w:t xml:space="preserve">: </w:t>
      </w:r>
      <w:r w:rsidR="000B395C">
        <w:t xml:space="preserve">Allen, </w:t>
      </w:r>
      <w:r w:rsidR="009364D7" w:rsidRPr="009364D7">
        <w:rPr>
          <w:i/>
          <w:iCs/>
        </w:rPr>
        <w:t>AEPT</w:t>
      </w:r>
      <w:r w:rsidR="009364D7">
        <w:t xml:space="preserve">, </w:t>
      </w:r>
      <w:r w:rsidR="00FC698F">
        <w:t>pp. 1-41</w:t>
      </w:r>
      <w:r w:rsidR="00061A52">
        <w:t xml:space="preserve">, and </w:t>
      </w:r>
      <w:r w:rsidR="00061A52" w:rsidRPr="00061A52">
        <w:rPr>
          <w:u w:val="single"/>
        </w:rPr>
        <w:t>Reading Questions</w:t>
      </w:r>
      <w:r w:rsidR="002918DF">
        <w:rPr>
          <w:u w:val="single"/>
        </w:rPr>
        <w:t xml:space="preserve"> </w:t>
      </w:r>
      <w:r w:rsidR="00C70F28">
        <w:rPr>
          <w:u w:val="single"/>
        </w:rPr>
        <w:t>3</w:t>
      </w:r>
    </w:p>
    <w:p w14:paraId="229371A7" w14:textId="77777777" w:rsidR="007C3296" w:rsidRDefault="007C3296" w:rsidP="007C3296">
      <w:pPr>
        <w:spacing w:after="0"/>
      </w:pPr>
    </w:p>
    <w:p w14:paraId="0D7BE977" w14:textId="75123ECC" w:rsidR="007C3296" w:rsidRPr="0090435E" w:rsidRDefault="007C3296" w:rsidP="007C3296">
      <w:pPr>
        <w:spacing w:after="0"/>
        <w:rPr>
          <w:b/>
          <w:bCs/>
        </w:rPr>
      </w:pPr>
      <w:r>
        <w:rPr>
          <w:b/>
          <w:bCs/>
        </w:rPr>
        <w:t xml:space="preserve">Week 3: </w:t>
      </w:r>
      <w:r w:rsidR="008812B2">
        <w:rPr>
          <w:b/>
          <w:bCs/>
        </w:rPr>
        <w:t>Death in ancient Egypt II</w:t>
      </w:r>
    </w:p>
    <w:p w14:paraId="2E84125B" w14:textId="6376BD53" w:rsidR="009525DD" w:rsidRDefault="00382185" w:rsidP="009525DD">
      <w:pPr>
        <w:spacing w:after="0"/>
      </w:pPr>
      <w:r>
        <w:t>10 Apr</w:t>
      </w:r>
      <w:r>
        <w:tab/>
      </w:r>
      <w:r w:rsidR="007C3296">
        <w:tab/>
      </w:r>
      <w:r w:rsidR="009525DD">
        <w:t xml:space="preserve">Making </w:t>
      </w:r>
      <w:r w:rsidR="004F17E3">
        <w:t>m</w:t>
      </w:r>
      <w:r w:rsidR="009525DD">
        <w:t>ummies</w:t>
      </w:r>
      <w:r w:rsidR="00B45351">
        <w:t>, *Avaris</w:t>
      </w:r>
    </w:p>
    <w:p w14:paraId="659EABD9" w14:textId="3D3D0A4C" w:rsidR="007C3296" w:rsidRDefault="009525DD" w:rsidP="009525DD">
      <w:pPr>
        <w:spacing w:after="0"/>
        <w:ind w:left="720" w:hanging="720"/>
      </w:pPr>
      <w:r>
        <w:tab/>
      </w:r>
      <w:r>
        <w:tab/>
      </w:r>
      <w:r w:rsidRPr="00295C50">
        <w:rPr>
          <w:i/>
          <w:iCs/>
        </w:rPr>
        <w:t>Required readings</w:t>
      </w:r>
      <w:r>
        <w:t xml:space="preserve">: </w:t>
      </w:r>
      <w:r w:rsidR="00462076">
        <w:t xml:space="preserve">Ikram, </w:t>
      </w:r>
      <w:r w:rsidR="00462076" w:rsidRPr="00462076">
        <w:rPr>
          <w:i/>
          <w:iCs/>
        </w:rPr>
        <w:t>DBAE</w:t>
      </w:r>
      <w:r w:rsidR="00462076">
        <w:t xml:space="preserve"> pages 47-76</w:t>
      </w:r>
      <w:r w:rsidR="00061A52">
        <w:t xml:space="preserve">, and </w:t>
      </w:r>
      <w:r w:rsidR="00061A52" w:rsidRPr="00061A52">
        <w:rPr>
          <w:u w:val="single"/>
        </w:rPr>
        <w:t>Reading Questions</w:t>
      </w:r>
      <w:r w:rsidR="002918DF">
        <w:rPr>
          <w:u w:val="single"/>
        </w:rPr>
        <w:t xml:space="preserve"> </w:t>
      </w:r>
      <w:r w:rsidR="00C70F28">
        <w:rPr>
          <w:u w:val="single"/>
        </w:rPr>
        <w:t>4</w:t>
      </w:r>
    </w:p>
    <w:p w14:paraId="13338431" w14:textId="77777777" w:rsidR="007C3296" w:rsidRDefault="007C3296" w:rsidP="007C3296">
      <w:pPr>
        <w:spacing w:after="0"/>
      </w:pPr>
    </w:p>
    <w:p w14:paraId="5F194993" w14:textId="4189EFDF" w:rsidR="009525DD" w:rsidRDefault="00382185" w:rsidP="001900FE">
      <w:pPr>
        <w:spacing w:after="0"/>
      </w:pPr>
      <w:r>
        <w:t>12 Apr</w:t>
      </w:r>
      <w:r w:rsidR="007C3296">
        <w:tab/>
      </w:r>
      <w:r w:rsidR="007C3296">
        <w:tab/>
      </w:r>
      <w:r w:rsidR="001900FE">
        <w:t>You can take it with you</w:t>
      </w:r>
      <w:r w:rsidR="00B45351">
        <w:t>, *Napata/Meroe</w:t>
      </w:r>
    </w:p>
    <w:p w14:paraId="464047DB" w14:textId="091FD5C7" w:rsidR="001900FE" w:rsidRDefault="001900FE" w:rsidP="001900FE">
      <w:pPr>
        <w:spacing w:after="0"/>
      </w:pPr>
      <w:r>
        <w:tab/>
      </w:r>
      <w:r>
        <w:tab/>
      </w:r>
      <w:r w:rsidRPr="00F76E4C">
        <w:rPr>
          <w:i/>
          <w:iCs/>
        </w:rPr>
        <w:t>Required readings</w:t>
      </w:r>
      <w:r>
        <w:t>:</w:t>
      </w:r>
    </w:p>
    <w:p w14:paraId="2558E8B8" w14:textId="5DAECA78" w:rsidR="001900FE" w:rsidRDefault="001900FE" w:rsidP="001900FE">
      <w:pPr>
        <w:spacing w:after="0"/>
      </w:pPr>
      <w:r>
        <w:tab/>
      </w:r>
      <w:r>
        <w:tab/>
        <w:t>If your last name begins with…</w:t>
      </w:r>
    </w:p>
    <w:p w14:paraId="159A58B4" w14:textId="26FE53D0" w:rsidR="001900FE" w:rsidRDefault="001900FE" w:rsidP="001900FE">
      <w:pPr>
        <w:spacing w:after="0"/>
      </w:pPr>
      <w:r>
        <w:tab/>
      </w:r>
      <w:r w:rsidR="003E3501">
        <w:t>A- C</w:t>
      </w:r>
      <w:r>
        <w:tab/>
        <w:t xml:space="preserve">Grajetzki, </w:t>
      </w:r>
      <w:r w:rsidRPr="00F76E4C">
        <w:rPr>
          <w:i/>
          <w:iCs/>
        </w:rPr>
        <w:t>BCAE</w:t>
      </w:r>
      <w:r>
        <w:t xml:space="preserve"> pages 7-26</w:t>
      </w:r>
      <w:r w:rsidR="00061A52">
        <w:t xml:space="preserve">, and </w:t>
      </w:r>
      <w:r w:rsidR="00061A52" w:rsidRPr="00061A52">
        <w:rPr>
          <w:u w:val="single"/>
        </w:rPr>
        <w:t>Reading Questions</w:t>
      </w:r>
      <w:r w:rsidR="002918DF">
        <w:rPr>
          <w:u w:val="single"/>
        </w:rPr>
        <w:t xml:space="preserve"> </w:t>
      </w:r>
      <w:r w:rsidR="00C70F28">
        <w:rPr>
          <w:u w:val="single"/>
        </w:rPr>
        <w:t>5</w:t>
      </w:r>
    </w:p>
    <w:p w14:paraId="4CA1302E" w14:textId="4F8C4B93" w:rsidR="001900FE" w:rsidRDefault="001900FE" w:rsidP="001900FE">
      <w:pPr>
        <w:spacing w:after="0"/>
      </w:pPr>
      <w:r>
        <w:tab/>
      </w:r>
      <w:r w:rsidR="003E3501">
        <w:t>D- K</w:t>
      </w:r>
      <w:r>
        <w:tab/>
        <w:t xml:space="preserve">Grajetzki, </w:t>
      </w:r>
      <w:r w:rsidRPr="00F76E4C">
        <w:rPr>
          <w:i/>
          <w:iCs/>
        </w:rPr>
        <w:t>BCAE</w:t>
      </w:r>
      <w:r>
        <w:t xml:space="preserve"> pages 27-53</w:t>
      </w:r>
      <w:r w:rsidR="00061A52">
        <w:t xml:space="preserve">, and </w:t>
      </w:r>
      <w:r w:rsidR="00061A52" w:rsidRPr="00061A52">
        <w:rPr>
          <w:u w:val="single"/>
        </w:rPr>
        <w:t>Reading Questions</w:t>
      </w:r>
      <w:r w:rsidR="002918DF">
        <w:rPr>
          <w:u w:val="single"/>
        </w:rPr>
        <w:t xml:space="preserve"> </w:t>
      </w:r>
      <w:r w:rsidR="00C70F28">
        <w:rPr>
          <w:u w:val="single"/>
        </w:rPr>
        <w:t>5</w:t>
      </w:r>
    </w:p>
    <w:p w14:paraId="56DB343D" w14:textId="21CA7AE7" w:rsidR="001900FE" w:rsidRDefault="001900FE" w:rsidP="001900FE">
      <w:pPr>
        <w:spacing w:after="0"/>
      </w:pPr>
      <w:r>
        <w:tab/>
      </w:r>
      <w:r w:rsidR="003E3501">
        <w:t>L- N</w:t>
      </w:r>
      <w:r>
        <w:t xml:space="preserve"> </w:t>
      </w:r>
      <w:r>
        <w:tab/>
        <w:t xml:space="preserve">Grajetzki, </w:t>
      </w:r>
      <w:r w:rsidRPr="00F76E4C">
        <w:rPr>
          <w:i/>
          <w:iCs/>
        </w:rPr>
        <w:t>BCAE</w:t>
      </w:r>
      <w:r>
        <w:t xml:space="preserve"> pages 54-83</w:t>
      </w:r>
      <w:r w:rsidR="00061A52">
        <w:t xml:space="preserve">, and </w:t>
      </w:r>
      <w:r w:rsidR="00061A52" w:rsidRPr="00061A52">
        <w:rPr>
          <w:u w:val="single"/>
        </w:rPr>
        <w:t>Reading Questions</w:t>
      </w:r>
      <w:r w:rsidR="002918DF">
        <w:rPr>
          <w:u w:val="single"/>
        </w:rPr>
        <w:t xml:space="preserve"> </w:t>
      </w:r>
      <w:r w:rsidR="00C70F28">
        <w:rPr>
          <w:u w:val="single"/>
        </w:rPr>
        <w:t>5</w:t>
      </w:r>
    </w:p>
    <w:p w14:paraId="1402834B" w14:textId="109F6ED8" w:rsidR="00F76E4C" w:rsidRDefault="00F76E4C" w:rsidP="001900FE">
      <w:pPr>
        <w:spacing w:after="0"/>
      </w:pPr>
      <w:r>
        <w:tab/>
      </w:r>
      <w:r w:rsidR="003E3501">
        <w:t>O- R</w:t>
      </w:r>
      <w:r>
        <w:tab/>
        <w:t xml:space="preserve">Grajetzki, </w:t>
      </w:r>
      <w:r w:rsidRPr="00F76E4C">
        <w:rPr>
          <w:i/>
          <w:iCs/>
        </w:rPr>
        <w:t>BCAE</w:t>
      </w:r>
      <w:r>
        <w:t xml:space="preserve"> pages 84-108</w:t>
      </w:r>
      <w:r w:rsidR="00061A52">
        <w:t xml:space="preserve">, and </w:t>
      </w:r>
      <w:r w:rsidR="00061A52" w:rsidRPr="00061A52">
        <w:rPr>
          <w:u w:val="single"/>
        </w:rPr>
        <w:t>Reading Questions</w:t>
      </w:r>
      <w:r w:rsidR="002918DF">
        <w:rPr>
          <w:u w:val="single"/>
        </w:rPr>
        <w:t xml:space="preserve"> </w:t>
      </w:r>
      <w:r w:rsidR="00C70F28">
        <w:rPr>
          <w:u w:val="single"/>
        </w:rPr>
        <w:t>5</w:t>
      </w:r>
    </w:p>
    <w:p w14:paraId="47389D04" w14:textId="7CDBB335" w:rsidR="001900FE" w:rsidRDefault="001900FE" w:rsidP="001900FE">
      <w:pPr>
        <w:spacing w:after="0"/>
      </w:pPr>
      <w:r>
        <w:tab/>
      </w:r>
      <w:r w:rsidR="003E3501">
        <w:t>S- Z</w:t>
      </w:r>
      <w:r>
        <w:tab/>
      </w:r>
      <w:r w:rsidR="00F76E4C">
        <w:t xml:space="preserve">Grajetzki, </w:t>
      </w:r>
      <w:r w:rsidR="00F76E4C" w:rsidRPr="00F76E4C">
        <w:rPr>
          <w:i/>
          <w:iCs/>
        </w:rPr>
        <w:t>BCAE</w:t>
      </w:r>
      <w:r w:rsidR="00F76E4C">
        <w:t xml:space="preserve"> pages 109-132</w:t>
      </w:r>
      <w:r w:rsidR="00061A52">
        <w:t xml:space="preserve">, and </w:t>
      </w:r>
      <w:r w:rsidR="00061A52" w:rsidRPr="00061A52">
        <w:rPr>
          <w:u w:val="single"/>
        </w:rPr>
        <w:t>Reading Questions</w:t>
      </w:r>
      <w:r w:rsidR="002918DF">
        <w:rPr>
          <w:u w:val="single"/>
        </w:rPr>
        <w:t xml:space="preserve"> </w:t>
      </w:r>
      <w:r w:rsidR="00C70F28">
        <w:rPr>
          <w:u w:val="single"/>
        </w:rPr>
        <w:t>5</w:t>
      </w:r>
    </w:p>
    <w:p w14:paraId="71174D38" w14:textId="77777777" w:rsidR="007C3296" w:rsidRDefault="007C3296" w:rsidP="007C3296">
      <w:pPr>
        <w:spacing w:after="0"/>
      </w:pPr>
    </w:p>
    <w:p w14:paraId="53075634" w14:textId="77777777" w:rsidR="00C70F28" w:rsidRDefault="00C70F28" w:rsidP="007C3296">
      <w:pPr>
        <w:spacing w:after="0"/>
        <w:rPr>
          <w:b/>
          <w:bCs/>
        </w:rPr>
      </w:pPr>
    </w:p>
    <w:p w14:paraId="25FA5A1A" w14:textId="1376E3A1" w:rsidR="007C3296" w:rsidRPr="0090435E" w:rsidRDefault="007C3296" w:rsidP="007C3296">
      <w:pPr>
        <w:spacing w:after="0"/>
        <w:rPr>
          <w:b/>
          <w:bCs/>
        </w:rPr>
      </w:pPr>
      <w:r>
        <w:rPr>
          <w:b/>
          <w:bCs/>
        </w:rPr>
        <w:lastRenderedPageBreak/>
        <w:t xml:space="preserve">Week 4: </w:t>
      </w:r>
      <w:r w:rsidR="008812B2">
        <w:rPr>
          <w:b/>
          <w:bCs/>
        </w:rPr>
        <w:t>Death in ancient Egypt III</w:t>
      </w:r>
    </w:p>
    <w:p w14:paraId="22F07EA2" w14:textId="3AEB5E25" w:rsidR="001900FE" w:rsidRDefault="00382185" w:rsidP="001900FE">
      <w:pPr>
        <w:spacing w:after="0"/>
      </w:pPr>
      <w:r>
        <w:t>17 Apr</w:t>
      </w:r>
      <w:r w:rsidR="007C3296" w:rsidRPr="0090435E">
        <w:t xml:space="preserve"> </w:t>
      </w:r>
      <w:r w:rsidR="00CB0E5A">
        <w:tab/>
      </w:r>
      <w:r w:rsidR="001900FE">
        <w:t>Remembering the (elite) dead</w:t>
      </w:r>
      <w:r w:rsidR="00B45351">
        <w:t>, *Memphis/Saqqara</w:t>
      </w:r>
    </w:p>
    <w:p w14:paraId="7F36C7D1" w14:textId="4771CF68" w:rsidR="001900FE" w:rsidRDefault="001900FE" w:rsidP="001900FE">
      <w:pPr>
        <w:spacing w:after="0"/>
        <w:ind w:left="720" w:hanging="720"/>
      </w:pPr>
      <w:r>
        <w:tab/>
      </w:r>
      <w:r>
        <w:tab/>
      </w:r>
      <w:r w:rsidRPr="009525DD">
        <w:rPr>
          <w:i/>
          <w:iCs/>
        </w:rPr>
        <w:t>Required readings</w:t>
      </w:r>
      <w:r>
        <w:t>: “Autobiography of Harkhuf” (Lichtheim I: 23-27), “Stela of Sehetep-Ib-Re” (Lichtheim I:</w:t>
      </w:r>
      <w:r w:rsidR="007E3879">
        <w:t xml:space="preserve"> </w:t>
      </w:r>
      <w:r>
        <w:t>125-129), “Stela of Amenhotep III” (Lichtheim II:</w:t>
      </w:r>
      <w:r w:rsidR="007E3879">
        <w:t xml:space="preserve"> </w:t>
      </w:r>
      <w:r>
        <w:t>43-47), “Sarcophagus Inscription of Wennofer” (Lichtheim III:</w:t>
      </w:r>
      <w:r w:rsidR="007E3879">
        <w:t xml:space="preserve"> </w:t>
      </w:r>
      <w:r>
        <w:t>54-57)</w:t>
      </w:r>
      <w:r w:rsidR="00061A52" w:rsidRPr="00061A52">
        <w:t xml:space="preserve"> </w:t>
      </w:r>
      <w:r w:rsidR="00061A52">
        <w:t xml:space="preserve">, and </w:t>
      </w:r>
      <w:r w:rsidR="00061A52" w:rsidRPr="00061A52">
        <w:rPr>
          <w:u w:val="single"/>
        </w:rPr>
        <w:t>Reading Questions</w:t>
      </w:r>
      <w:r w:rsidR="002918DF">
        <w:rPr>
          <w:u w:val="single"/>
        </w:rPr>
        <w:t xml:space="preserve"> </w:t>
      </w:r>
      <w:r w:rsidR="00C70F28">
        <w:rPr>
          <w:u w:val="single"/>
        </w:rPr>
        <w:t>6</w:t>
      </w:r>
    </w:p>
    <w:p w14:paraId="5630083C" w14:textId="369E8909" w:rsidR="00D53F6B" w:rsidRDefault="007C3296" w:rsidP="007E3879">
      <w:pPr>
        <w:spacing w:after="0"/>
      </w:pPr>
      <w:r>
        <w:tab/>
      </w:r>
    </w:p>
    <w:p w14:paraId="21AFA6B9" w14:textId="501BD10F" w:rsidR="007C3296" w:rsidRDefault="00382185" w:rsidP="00382185">
      <w:pPr>
        <w:spacing w:after="0"/>
      </w:pPr>
      <w:r>
        <w:t>19 Apr</w:t>
      </w:r>
      <w:r w:rsidR="007C3296">
        <w:tab/>
      </w:r>
      <w:r w:rsidR="00CB0E5A">
        <w:tab/>
      </w:r>
      <w:r w:rsidR="004F17E3">
        <w:t>Abydos</w:t>
      </w:r>
    </w:p>
    <w:p w14:paraId="1E002AB9" w14:textId="3D1014B3" w:rsidR="009525DD" w:rsidRDefault="009525DD" w:rsidP="004F17E3">
      <w:pPr>
        <w:spacing w:after="0"/>
        <w:ind w:left="1440"/>
      </w:pPr>
      <w:r w:rsidRPr="009525DD">
        <w:rPr>
          <w:i/>
          <w:iCs/>
        </w:rPr>
        <w:t>Required readings</w:t>
      </w:r>
      <w:r>
        <w:t>:</w:t>
      </w:r>
      <w:r w:rsidR="004F17E3">
        <w:t xml:space="preserve"> Wegner and Cahail, “Tomb of King Woseribre Senebkay,” pages 1-137 (</w:t>
      </w:r>
      <w:r w:rsidR="0021059F">
        <w:t>Just get as far as you can</w:t>
      </w:r>
      <w:r w:rsidR="004F17E3">
        <w:t>)</w:t>
      </w:r>
      <w:r w:rsidR="00061A52">
        <w:t xml:space="preserve">, and </w:t>
      </w:r>
      <w:r w:rsidR="00061A52" w:rsidRPr="00061A52">
        <w:rPr>
          <w:u w:val="single"/>
        </w:rPr>
        <w:t>Reading Questions</w:t>
      </w:r>
      <w:r w:rsidR="002918DF">
        <w:rPr>
          <w:u w:val="single"/>
        </w:rPr>
        <w:t xml:space="preserve"> </w:t>
      </w:r>
      <w:r w:rsidR="00C70F28">
        <w:rPr>
          <w:u w:val="single"/>
        </w:rPr>
        <w:t>7</w:t>
      </w:r>
    </w:p>
    <w:p w14:paraId="685928D8" w14:textId="1DD8505D" w:rsidR="00004D39" w:rsidRPr="00004D39" w:rsidRDefault="00004D39" w:rsidP="004F17E3">
      <w:pPr>
        <w:spacing w:after="0"/>
        <w:ind w:left="1440"/>
        <w:rPr>
          <w:u w:val="single"/>
        </w:rPr>
      </w:pPr>
      <w:r w:rsidRPr="00004D39">
        <w:rPr>
          <w:i/>
          <w:iCs/>
          <w:u w:val="single"/>
        </w:rPr>
        <w:t>Grad students</w:t>
      </w:r>
      <w:r w:rsidRPr="00004D39">
        <w:rPr>
          <w:u w:val="single"/>
        </w:rPr>
        <w:t>: Reading Review 1 due today</w:t>
      </w:r>
    </w:p>
    <w:p w14:paraId="6A9BBB94" w14:textId="77777777" w:rsidR="007C3296" w:rsidRDefault="007C3296" w:rsidP="007C3296">
      <w:pPr>
        <w:spacing w:after="0"/>
      </w:pPr>
    </w:p>
    <w:p w14:paraId="73781BB1" w14:textId="305F6321" w:rsidR="007C3296" w:rsidRPr="0090435E" w:rsidRDefault="007C3296" w:rsidP="007C3296">
      <w:pPr>
        <w:spacing w:after="0"/>
        <w:rPr>
          <w:b/>
          <w:bCs/>
        </w:rPr>
      </w:pPr>
      <w:r>
        <w:rPr>
          <w:b/>
          <w:bCs/>
        </w:rPr>
        <w:t xml:space="preserve">Week 5: </w:t>
      </w:r>
      <w:r w:rsidR="008812B2">
        <w:rPr>
          <w:b/>
          <w:bCs/>
        </w:rPr>
        <w:t xml:space="preserve">Death in ancient </w:t>
      </w:r>
      <w:r w:rsidR="00FE196E">
        <w:rPr>
          <w:b/>
          <w:bCs/>
        </w:rPr>
        <w:t>Mesopotamia</w:t>
      </w:r>
      <w:r w:rsidR="008812B2">
        <w:rPr>
          <w:b/>
          <w:bCs/>
        </w:rPr>
        <w:t xml:space="preserve"> I</w:t>
      </w:r>
    </w:p>
    <w:p w14:paraId="0AE38E27" w14:textId="153769F4" w:rsidR="00FE196E" w:rsidRDefault="00382185" w:rsidP="00FE196E">
      <w:pPr>
        <w:spacing w:after="0"/>
      </w:pPr>
      <w:r>
        <w:t>24 Apr</w:t>
      </w:r>
      <w:r w:rsidR="00FE196E">
        <w:tab/>
      </w:r>
      <w:r w:rsidR="00FE196E">
        <w:tab/>
        <w:t>Death and the Underworld in Mesopotamian Myths</w:t>
      </w:r>
      <w:r w:rsidR="00B45351">
        <w:t>, *Titris Hoyuk</w:t>
      </w:r>
    </w:p>
    <w:p w14:paraId="56D136EC" w14:textId="18F08169" w:rsidR="00FE196E" w:rsidRDefault="00FE196E" w:rsidP="00FE196E">
      <w:pPr>
        <w:spacing w:after="0"/>
        <w:ind w:left="720" w:hanging="720"/>
      </w:pPr>
      <w:r>
        <w:tab/>
      </w:r>
      <w:r w:rsidR="00667610">
        <w:tab/>
      </w:r>
      <w:r w:rsidRPr="006C3185">
        <w:rPr>
          <w:i/>
          <w:iCs/>
        </w:rPr>
        <w:t>Required reading</w:t>
      </w:r>
      <w:r w:rsidRPr="006C3185">
        <w:t xml:space="preserve">: </w:t>
      </w:r>
      <w:r>
        <w:t>“The Descent of Ishtar,” “Gilgamesh, Enkidu, and the Netherworld,”</w:t>
      </w:r>
      <w:r w:rsidR="001536D7">
        <w:t xml:space="preserve"> “The Underworld Vision of an Assyrian Prince,” </w:t>
      </w:r>
      <w:r w:rsidR="001536D7" w:rsidRPr="0021059F">
        <w:t>“Elegies for Tammuz</w:t>
      </w:r>
      <w:r w:rsidR="0021059F">
        <w:t>,</w:t>
      </w:r>
      <w:r w:rsidR="001536D7" w:rsidRPr="0021059F">
        <w:t>”</w:t>
      </w:r>
      <w:r w:rsidR="00061A52">
        <w:t xml:space="preserve"> and </w:t>
      </w:r>
      <w:r w:rsidR="00061A52" w:rsidRPr="00061A52">
        <w:rPr>
          <w:u w:val="single"/>
        </w:rPr>
        <w:t>Reading Questions</w:t>
      </w:r>
      <w:r w:rsidR="002918DF">
        <w:rPr>
          <w:u w:val="single"/>
        </w:rPr>
        <w:t xml:space="preserve"> </w:t>
      </w:r>
      <w:r w:rsidR="00C70F28">
        <w:rPr>
          <w:u w:val="single"/>
        </w:rPr>
        <w:t>8</w:t>
      </w:r>
    </w:p>
    <w:p w14:paraId="368118DE" w14:textId="77777777" w:rsidR="007C3296" w:rsidRDefault="007C3296" w:rsidP="007C3296">
      <w:pPr>
        <w:spacing w:after="0"/>
      </w:pPr>
    </w:p>
    <w:p w14:paraId="2CCBB8C1" w14:textId="516B55C8" w:rsidR="00FE196E" w:rsidRDefault="00382185" w:rsidP="009A17B9">
      <w:pPr>
        <w:spacing w:after="0"/>
      </w:pPr>
      <w:r>
        <w:t xml:space="preserve">26 Apr </w:t>
      </w:r>
      <w:r w:rsidR="00F76E4C">
        <w:tab/>
        <w:t>Four funerals and another funeral</w:t>
      </w:r>
      <w:r w:rsidR="00B45351">
        <w:t>, *Kish/Nippur</w:t>
      </w:r>
    </w:p>
    <w:p w14:paraId="2E81DF4D" w14:textId="0F7B47A5" w:rsidR="0010109E" w:rsidRDefault="0010109E" w:rsidP="009A17B9">
      <w:pPr>
        <w:spacing w:after="0"/>
      </w:pPr>
      <w:r>
        <w:tab/>
      </w:r>
      <w:r w:rsidR="00667610">
        <w:tab/>
      </w:r>
      <w:r w:rsidRPr="00667610">
        <w:rPr>
          <w:i/>
          <w:iCs/>
        </w:rPr>
        <w:t>Required reading</w:t>
      </w:r>
      <w:r>
        <w:t>: Hays, “Death and Dying in Mesopotamia during Iron Age II,” pages 34-56</w:t>
      </w:r>
      <w:r w:rsidR="00061A52">
        <w:t xml:space="preserve">, and </w:t>
      </w:r>
      <w:r w:rsidR="00061A52" w:rsidRPr="00061A52">
        <w:rPr>
          <w:u w:val="single"/>
        </w:rPr>
        <w:t>Reading Questions</w:t>
      </w:r>
      <w:r w:rsidR="002918DF">
        <w:rPr>
          <w:u w:val="single"/>
        </w:rPr>
        <w:t xml:space="preserve"> </w:t>
      </w:r>
      <w:r w:rsidR="00C70F28">
        <w:rPr>
          <w:u w:val="single"/>
        </w:rPr>
        <w:t>9</w:t>
      </w:r>
    </w:p>
    <w:p w14:paraId="7911D954" w14:textId="243A41A7" w:rsidR="00004D39" w:rsidRPr="00004D39" w:rsidRDefault="00004D39" w:rsidP="009A17B9">
      <w:pPr>
        <w:spacing w:after="0"/>
        <w:rPr>
          <w:u w:val="single"/>
        </w:rPr>
      </w:pPr>
      <w:r>
        <w:tab/>
      </w:r>
      <w:r>
        <w:tab/>
      </w:r>
      <w:r w:rsidRPr="00004D39">
        <w:rPr>
          <w:i/>
          <w:iCs/>
          <w:u w:val="single"/>
        </w:rPr>
        <w:t>All students</w:t>
      </w:r>
      <w:r w:rsidRPr="00004D39">
        <w:rPr>
          <w:u w:val="single"/>
        </w:rPr>
        <w:t>: A Day (and Night) in the Life of a Ba due today</w:t>
      </w:r>
    </w:p>
    <w:p w14:paraId="112F7136" w14:textId="582D497D" w:rsidR="007C3296" w:rsidRDefault="007C3296" w:rsidP="00D53F6B">
      <w:pPr>
        <w:spacing w:after="0"/>
      </w:pPr>
      <w:r>
        <w:t xml:space="preserve"> </w:t>
      </w:r>
    </w:p>
    <w:p w14:paraId="6416DCF6" w14:textId="74BD0653" w:rsidR="007C3296" w:rsidRPr="0090435E" w:rsidRDefault="007C3296" w:rsidP="007C3296">
      <w:pPr>
        <w:spacing w:after="0"/>
        <w:rPr>
          <w:b/>
          <w:bCs/>
        </w:rPr>
      </w:pPr>
      <w:r>
        <w:rPr>
          <w:b/>
          <w:bCs/>
        </w:rPr>
        <w:t xml:space="preserve">Week 6: </w:t>
      </w:r>
      <w:r w:rsidR="008812B2">
        <w:rPr>
          <w:b/>
          <w:bCs/>
        </w:rPr>
        <w:t xml:space="preserve">Death in ancient </w:t>
      </w:r>
      <w:r w:rsidR="00FE196E">
        <w:rPr>
          <w:b/>
          <w:bCs/>
        </w:rPr>
        <w:t>Mesopotamia</w:t>
      </w:r>
      <w:r w:rsidR="008812B2">
        <w:rPr>
          <w:b/>
          <w:bCs/>
        </w:rPr>
        <w:t xml:space="preserve"> II</w:t>
      </w:r>
    </w:p>
    <w:p w14:paraId="565DD3AF" w14:textId="222FB688" w:rsidR="009A17B9" w:rsidRDefault="00382185" w:rsidP="009A17B9">
      <w:pPr>
        <w:spacing w:after="0"/>
      </w:pPr>
      <w:r>
        <w:t>1 May</w:t>
      </w:r>
      <w:r w:rsidR="009A17B9" w:rsidRPr="009A17B9">
        <w:t xml:space="preserve"> </w:t>
      </w:r>
      <w:r w:rsidR="00CB0E5A">
        <w:tab/>
      </w:r>
      <w:r w:rsidR="00CB0E5A">
        <w:tab/>
      </w:r>
      <w:r w:rsidR="009A17B9">
        <w:t>The Royal Cemetary of Ur</w:t>
      </w:r>
      <w:r w:rsidR="00B45351">
        <w:t>, *Mari</w:t>
      </w:r>
    </w:p>
    <w:p w14:paraId="688EB23E" w14:textId="040F73CC" w:rsidR="009A17B9" w:rsidRDefault="009A17B9" w:rsidP="009A17B9">
      <w:pPr>
        <w:spacing w:after="0"/>
        <w:ind w:left="720" w:hanging="720"/>
      </w:pPr>
      <w:r>
        <w:tab/>
      </w:r>
      <w:r w:rsidR="00CB0E5A">
        <w:tab/>
      </w:r>
      <w:r w:rsidRPr="002330A0">
        <w:rPr>
          <w:i/>
          <w:iCs/>
        </w:rPr>
        <w:t>Required reading</w:t>
      </w:r>
      <w:r>
        <w:t>: Baadsgaard et al.</w:t>
      </w:r>
      <w:r w:rsidR="00667610">
        <w:t>, “Bludgeoned”</w:t>
      </w:r>
      <w:r w:rsidR="00061A52">
        <w:t xml:space="preserve">, and </w:t>
      </w:r>
      <w:r w:rsidR="00061A52" w:rsidRPr="00061A52">
        <w:rPr>
          <w:u w:val="single"/>
        </w:rPr>
        <w:t>Reading Questions</w:t>
      </w:r>
      <w:r w:rsidR="002918DF">
        <w:rPr>
          <w:u w:val="single"/>
        </w:rPr>
        <w:t xml:space="preserve"> </w:t>
      </w:r>
      <w:r w:rsidR="00C70F28">
        <w:rPr>
          <w:u w:val="single"/>
        </w:rPr>
        <w:t>10</w:t>
      </w:r>
    </w:p>
    <w:p w14:paraId="359A9140" w14:textId="407B4BF6" w:rsidR="007C3296" w:rsidRDefault="007C3296" w:rsidP="0010109E">
      <w:pPr>
        <w:spacing w:after="0"/>
      </w:pPr>
      <w:r>
        <w:t xml:space="preserve"> </w:t>
      </w:r>
    </w:p>
    <w:p w14:paraId="05C3115B" w14:textId="5F50EDD1" w:rsidR="007C3296" w:rsidRDefault="00382185" w:rsidP="007C3296">
      <w:pPr>
        <w:spacing w:after="0"/>
      </w:pPr>
      <w:r>
        <w:t>3 May</w:t>
      </w:r>
      <w:r w:rsidR="007C3296">
        <w:t xml:space="preserve">  </w:t>
      </w:r>
      <w:r w:rsidR="00667610">
        <w:tab/>
      </w:r>
      <w:r w:rsidR="00C223CC">
        <w:t>Dealing with the dead</w:t>
      </w:r>
      <w:r w:rsidR="00B45351">
        <w:t>, *Babylon</w:t>
      </w:r>
    </w:p>
    <w:p w14:paraId="277D8004" w14:textId="02601B25" w:rsidR="007C3296" w:rsidRDefault="007C3296" w:rsidP="00F76E4C">
      <w:pPr>
        <w:spacing w:after="0"/>
        <w:ind w:left="1440"/>
      </w:pPr>
      <w:r w:rsidRPr="006E6ABC">
        <w:rPr>
          <w:i/>
          <w:iCs/>
        </w:rPr>
        <w:t>Required reading</w:t>
      </w:r>
      <w:r>
        <w:t xml:space="preserve">: </w:t>
      </w:r>
      <w:r w:rsidR="00C223CC">
        <w:t xml:space="preserve">Scurlock, “Ghosts,” </w:t>
      </w:r>
      <w:r w:rsidR="00F76E4C">
        <w:t>van der Toorn, “The Cult of the Ancestors”</w:t>
      </w:r>
      <w:r w:rsidR="00061A52">
        <w:t xml:space="preserve">, and </w:t>
      </w:r>
      <w:r w:rsidR="00061A52" w:rsidRPr="00061A52">
        <w:rPr>
          <w:u w:val="single"/>
        </w:rPr>
        <w:t>Reading Questions</w:t>
      </w:r>
      <w:r w:rsidR="002918DF">
        <w:rPr>
          <w:u w:val="single"/>
        </w:rPr>
        <w:t xml:space="preserve"> </w:t>
      </w:r>
      <w:r w:rsidR="00C70F28">
        <w:rPr>
          <w:u w:val="single"/>
        </w:rPr>
        <w:t>11</w:t>
      </w:r>
    </w:p>
    <w:p w14:paraId="6073F4E0" w14:textId="447ABAB1" w:rsidR="00004D39" w:rsidRPr="00004D39" w:rsidRDefault="00004D39" w:rsidP="00004D39">
      <w:pPr>
        <w:spacing w:after="0"/>
        <w:ind w:left="1440"/>
        <w:rPr>
          <w:u w:val="single"/>
        </w:rPr>
      </w:pPr>
      <w:r w:rsidRPr="00004D39">
        <w:rPr>
          <w:i/>
          <w:iCs/>
          <w:u w:val="single"/>
        </w:rPr>
        <w:t>Grad students</w:t>
      </w:r>
      <w:r w:rsidRPr="00004D39">
        <w:rPr>
          <w:u w:val="single"/>
        </w:rPr>
        <w:t xml:space="preserve">: Reading Review </w:t>
      </w:r>
      <w:r>
        <w:rPr>
          <w:u w:val="single"/>
        </w:rPr>
        <w:t>2</w:t>
      </w:r>
      <w:r w:rsidRPr="00004D39">
        <w:rPr>
          <w:u w:val="single"/>
        </w:rPr>
        <w:t xml:space="preserve"> due today</w:t>
      </w:r>
    </w:p>
    <w:p w14:paraId="14A4D686" w14:textId="77777777" w:rsidR="007C3296" w:rsidRDefault="007C3296" w:rsidP="007C3296">
      <w:pPr>
        <w:spacing w:after="0"/>
      </w:pPr>
    </w:p>
    <w:p w14:paraId="12C68795" w14:textId="6666021E" w:rsidR="007C3296" w:rsidRPr="0090435E" w:rsidRDefault="007C3296" w:rsidP="007C3296">
      <w:pPr>
        <w:spacing w:after="0"/>
        <w:rPr>
          <w:b/>
          <w:bCs/>
        </w:rPr>
      </w:pPr>
      <w:r>
        <w:rPr>
          <w:b/>
          <w:bCs/>
        </w:rPr>
        <w:t xml:space="preserve">Week 7: </w:t>
      </w:r>
      <w:r w:rsidR="008812B2">
        <w:rPr>
          <w:b/>
          <w:bCs/>
        </w:rPr>
        <w:t>Death in ancient Syria and Canaan I</w:t>
      </w:r>
    </w:p>
    <w:p w14:paraId="654C1BBE" w14:textId="369E77BD" w:rsidR="007C3296" w:rsidRDefault="00382185" w:rsidP="007C3296">
      <w:pPr>
        <w:spacing w:after="0"/>
      </w:pPr>
      <w:r>
        <w:t>8 May</w:t>
      </w:r>
      <w:r w:rsidR="00CB0E5A">
        <w:tab/>
      </w:r>
      <w:r w:rsidR="00CB0E5A">
        <w:tab/>
        <w:t xml:space="preserve">Death and the </w:t>
      </w:r>
      <w:r w:rsidR="00C223CC">
        <w:t>u</w:t>
      </w:r>
      <w:r w:rsidR="00CB0E5A">
        <w:t xml:space="preserve">nderworld in Syro-Canaanite </w:t>
      </w:r>
      <w:r w:rsidR="0051322A">
        <w:t>myth and ritual</w:t>
      </w:r>
      <w:r w:rsidR="00B45351">
        <w:t>, *Gre Virike</w:t>
      </w:r>
    </w:p>
    <w:p w14:paraId="33D14634" w14:textId="1B3DCF7F" w:rsidR="007C3296" w:rsidRDefault="007C3296" w:rsidP="007C3296">
      <w:pPr>
        <w:spacing w:after="0"/>
        <w:ind w:left="720" w:hanging="720"/>
      </w:pPr>
      <w:r>
        <w:tab/>
      </w:r>
      <w:r w:rsidR="00CB0E5A">
        <w:tab/>
      </w:r>
      <w:r w:rsidRPr="006E6ABC">
        <w:rPr>
          <w:i/>
          <w:iCs/>
        </w:rPr>
        <w:t>Required reading</w:t>
      </w:r>
      <w:r>
        <w:t xml:space="preserve">: </w:t>
      </w:r>
      <w:r w:rsidR="00FE196E">
        <w:t>“Baal versus Mot”</w:t>
      </w:r>
      <w:r w:rsidR="00190EB2">
        <w:t xml:space="preserve"> and</w:t>
      </w:r>
      <w:r w:rsidR="00FE196E">
        <w:t xml:space="preserve"> “The Banquet of the Rapiuma”</w:t>
      </w:r>
      <w:r w:rsidR="00190EB2">
        <w:t xml:space="preserve"> (from </w:t>
      </w:r>
      <w:r w:rsidR="00190EB2" w:rsidRPr="00190EB2">
        <w:rPr>
          <w:i/>
          <w:iCs/>
        </w:rPr>
        <w:t>Ugaritic Narrative Poetry</w:t>
      </w:r>
      <w:r w:rsidR="00190EB2">
        <w:t>),</w:t>
      </w:r>
      <w:r w:rsidR="00FE196E">
        <w:t xml:space="preserve"> </w:t>
      </w:r>
      <w:r w:rsidR="005E2C64">
        <w:t xml:space="preserve">“Ritual for an Abi Pit,” </w:t>
      </w:r>
      <w:r w:rsidR="00ED3E8D">
        <w:t>and “A Hittite Royal Funeral”</w:t>
      </w:r>
      <w:r w:rsidR="00061A52">
        <w:t xml:space="preserve">, and </w:t>
      </w:r>
      <w:r w:rsidR="00061A52" w:rsidRPr="00061A52">
        <w:rPr>
          <w:u w:val="single"/>
        </w:rPr>
        <w:t>Reading Questions</w:t>
      </w:r>
      <w:r w:rsidR="002918DF">
        <w:rPr>
          <w:u w:val="single"/>
        </w:rPr>
        <w:t xml:space="preserve"> 1</w:t>
      </w:r>
      <w:r w:rsidR="00C70F28">
        <w:rPr>
          <w:u w:val="single"/>
        </w:rPr>
        <w:t>2</w:t>
      </w:r>
    </w:p>
    <w:p w14:paraId="7E7F0E3B" w14:textId="0DDFE06E" w:rsidR="007C3296" w:rsidRDefault="007C3296" w:rsidP="007C3296">
      <w:pPr>
        <w:spacing w:after="0"/>
      </w:pPr>
    </w:p>
    <w:p w14:paraId="6B51E95D" w14:textId="59ECA26E" w:rsidR="007C3296" w:rsidRDefault="00382185" w:rsidP="007C3296">
      <w:pPr>
        <w:spacing w:after="0"/>
      </w:pPr>
      <w:r>
        <w:t>10 May</w:t>
      </w:r>
      <w:r w:rsidR="0018063A">
        <w:tab/>
      </w:r>
      <w:r w:rsidR="00C223CC">
        <w:t>Remembering the (elite) dead</w:t>
      </w:r>
      <w:r w:rsidR="00B45351">
        <w:t>, *Tel Banat/Deir el Balah</w:t>
      </w:r>
    </w:p>
    <w:p w14:paraId="40727F69" w14:textId="2625FC67" w:rsidR="007C3296" w:rsidRDefault="007C3296" w:rsidP="007C3296">
      <w:pPr>
        <w:spacing w:after="0"/>
        <w:ind w:left="720" w:hanging="720"/>
      </w:pPr>
      <w:r>
        <w:tab/>
      </w:r>
      <w:r w:rsidR="00667610">
        <w:tab/>
      </w:r>
      <w:r w:rsidRPr="006C3185">
        <w:rPr>
          <w:i/>
          <w:iCs/>
        </w:rPr>
        <w:t>Required reading</w:t>
      </w:r>
      <w:r w:rsidRPr="006C3185">
        <w:t xml:space="preserve">: </w:t>
      </w:r>
      <w:r w:rsidR="004325C3">
        <w:t xml:space="preserve">“Hadad and Panamuwa Inscriptions” (CoS II), “Nerab Inscriptions,” </w:t>
      </w:r>
      <w:r w:rsidR="00E77F05">
        <w:t xml:space="preserve">“Eshmunazor Inscription,” “Katamuwa Inscription,” </w:t>
      </w:r>
      <w:r w:rsidR="00061A52">
        <w:t xml:space="preserve">and </w:t>
      </w:r>
      <w:r w:rsidR="00061A52" w:rsidRPr="00061A52">
        <w:rPr>
          <w:u w:val="single"/>
        </w:rPr>
        <w:t>Reading Questions</w:t>
      </w:r>
      <w:r w:rsidR="002918DF">
        <w:rPr>
          <w:u w:val="single"/>
        </w:rPr>
        <w:t xml:space="preserve"> 1</w:t>
      </w:r>
      <w:r w:rsidR="00C70F28">
        <w:rPr>
          <w:u w:val="single"/>
        </w:rPr>
        <w:t>3</w:t>
      </w:r>
    </w:p>
    <w:p w14:paraId="63B7876F" w14:textId="1F8F6933" w:rsidR="00004D39" w:rsidRPr="00004D39" w:rsidRDefault="00004D39" w:rsidP="007C3296">
      <w:pPr>
        <w:spacing w:after="0"/>
        <w:ind w:left="720" w:hanging="720"/>
        <w:rPr>
          <w:u w:val="single"/>
        </w:rPr>
      </w:pPr>
      <w:r>
        <w:rPr>
          <w:i/>
          <w:iCs/>
        </w:rPr>
        <w:tab/>
      </w:r>
      <w:r>
        <w:rPr>
          <w:i/>
          <w:iCs/>
        </w:rPr>
        <w:tab/>
      </w:r>
      <w:r w:rsidRPr="00004D39">
        <w:rPr>
          <w:i/>
          <w:iCs/>
          <w:u w:val="single"/>
        </w:rPr>
        <w:t>All students</w:t>
      </w:r>
      <w:r w:rsidRPr="00004D39">
        <w:rPr>
          <w:u w:val="single"/>
        </w:rPr>
        <w:t>: The Life of a Ghost due today</w:t>
      </w:r>
    </w:p>
    <w:p w14:paraId="038EA4E8" w14:textId="77777777" w:rsidR="007C3296" w:rsidRDefault="007C3296" w:rsidP="007C3296">
      <w:pPr>
        <w:spacing w:after="0"/>
      </w:pPr>
    </w:p>
    <w:p w14:paraId="12590FE2" w14:textId="6853209F" w:rsidR="007C3296" w:rsidRPr="0090435E" w:rsidRDefault="007C3296" w:rsidP="007C3296">
      <w:pPr>
        <w:spacing w:after="0"/>
        <w:rPr>
          <w:b/>
          <w:bCs/>
        </w:rPr>
      </w:pPr>
      <w:r>
        <w:rPr>
          <w:b/>
          <w:bCs/>
        </w:rPr>
        <w:lastRenderedPageBreak/>
        <w:t xml:space="preserve">Week 8: </w:t>
      </w:r>
      <w:r w:rsidR="008812B2">
        <w:rPr>
          <w:b/>
          <w:bCs/>
        </w:rPr>
        <w:t xml:space="preserve">Death in ancient </w:t>
      </w:r>
      <w:r w:rsidR="00FE196E">
        <w:rPr>
          <w:b/>
          <w:bCs/>
        </w:rPr>
        <w:t>Syria and Canaan</w:t>
      </w:r>
      <w:r w:rsidR="008812B2">
        <w:rPr>
          <w:b/>
          <w:bCs/>
        </w:rPr>
        <w:t xml:space="preserve"> I</w:t>
      </w:r>
      <w:r w:rsidR="0018063A">
        <w:rPr>
          <w:b/>
          <w:bCs/>
        </w:rPr>
        <w:t>I</w:t>
      </w:r>
    </w:p>
    <w:p w14:paraId="7DC2FC08" w14:textId="68984088" w:rsidR="007C3296" w:rsidRDefault="00382185" w:rsidP="007C3296">
      <w:pPr>
        <w:spacing w:after="0"/>
      </w:pPr>
      <w:r>
        <w:t>15 May</w:t>
      </w:r>
      <w:r w:rsidR="000B395C">
        <w:t xml:space="preserve"> </w:t>
      </w:r>
      <w:r w:rsidR="000B395C">
        <w:tab/>
      </w:r>
      <w:r w:rsidR="008B1F9D">
        <w:t>Umm el-Marra</w:t>
      </w:r>
      <w:r w:rsidR="00B45351">
        <w:t>, *Megiddo</w:t>
      </w:r>
    </w:p>
    <w:p w14:paraId="4165418B" w14:textId="257A6B8B" w:rsidR="007C3296" w:rsidRDefault="007C3296" w:rsidP="00653AB4">
      <w:pPr>
        <w:spacing w:after="0"/>
        <w:ind w:left="1440"/>
      </w:pPr>
      <w:r w:rsidRPr="002330A0">
        <w:rPr>
          <w:i/>
          <w:iCs/>
        </w:rPr>
        <w:t>Required reading</w:t>
      </w:r>
      <w:r>
        <w:t xml:space="preserve">: </w:t>
      </w:r>
      <w:r w:rsidR="00B57412">
        <w:t>Schwartz, “Memory and its Demolition”</w:t>
      </w:r>
      <w:r w:rsidR="00061A52" w:rsidRPr="00061A52">
        <w:t xml:space="preserve"> </w:t>
      </w:r>
      <w:r w:rsidR="00061A52">
        <w:t xml:space="preserve">, and </w:t>
      </w:r>
      <w:r w:rsidR="00061A52" w:rsidRPr="00061A52">
        <w:rPr>
          <w:u w:val="single"/>
        </w:rPr>
        <w:t>Reading Questions</w:t>
      </w:r>
      <w:r w:rsidR="002918DF">
        <w:rPr>
          <w:u w:val="single"/>
        </w:rPr>
        <w:t xml:space="preserve"> 1</w:t>
      </w:r>
      <w:r w:rsidR="00C70F28">
        <w:rPr>
          <w:u w:val="single"/>
        </w:rPr>
        <w:t>4</w:t>
      </w:r>
    </w:p>
    <w:p w14:paraId="64903B60" w14:textId="77777777" w:rsidR="007C3296" w:rsidRDefault="007C3296" w:rsidP="007C3296">
      <w:pPr>
        <w:spacing w:after="0"/>
      </w:pPr>
    </w:p>
    <w:p w14:paraId="0C42AF77" w14:textId="1A66E20F" w:rsidR="007C3296" w:rsidRDefault="00382185" w:rsidP="007C3296">
      <w:pPr>
        <w:spacing w:after="0"/>
      </w:pPr>
      <w:r>
        <w:t>17 May</w:t>
      </w:r>
      <w:r w:rsidR="000B395C">
        <w:t xml:space="preserve"> </w:t>
      </w:r>
      <w:r w:rsidR="000B395C">
        <w:tab/>
      </w:r>
      <w:r w:rsidR="0051322A">
        <w:t>Bury me again</w:t>
      </w:r>
      <w:r w:rsidR="00B45351">
        <w:t>, *Khirbet el-Qom</w:t>
      </w:r>
    </w:p>
    <w:p w14:paraId="693D2917" w14:textId="0B89D3FB" w:rsidR="007C3296" w:rsidRDefault="007C3296" w:rsidP="00C70F28">
      <w:pPr>
        <w:spacing w:after="0"/>
        <w:ind w:left="1440" w:hanging="1440"/>
      </w:pPr>
      <w:r>
        <w:tab/>
      </w:r>
      <w:r w:rsidRPr="002330A0">
        <w:rPr>
          <w:i/>
          <w:iCs/>
        </w:rPr>
        <w:t>Required reading</w:t>
      </w:r>
      <w:r>
        <w:t xml:space="preserve">: </w:t>
      </w:r>
      <w:r w:rsidR="0051322A">
        <w:t>Pfalzner, “How did they bury the kings of Qatna?”</w:t>
      </w:r>
      <w:r w:rsidR="00061A52">
        <w:t xml:space="preserve">, and </w:t>
      </w:r>
      <w:r w:rsidR="00061A52" w:rsidRPr="00061A52">
        <w:rPr>
          <w:u w:val="single"/>
        </w:rPr>
        <w:t>Reading Questions</w:t>
      </w:r>
      <w:r w:rsidR="002918DF">
        <w:rPr>
          <w:u w:val="single"/>
        </w:rPr>
        <w:t xml:space="preserve"> 1</w:t>
      </w:r>
      <w:r w:rsidR="00C70F28">
        <w:rPr>
          <w:u w:val="single"/>
        </w:rPr>
        <w:t>5</w:t>
      </w:r>
    </w:p>
    <w:p w14:paraId="6A5E3863" w14:textId="77777777" w:rsidR="007C3296" w:rsidRDefault="007C3296" w:rsidP="007C3296">
      <w:pPr>
        <w:spacing w:after="0"/>
      </w:pPr>
    </w:p>
    <w:p w14:paraId="3BA6106C" w14:textId="36A551A6" w:rsidR="007C3296" w:rsidRPr="0090435E" w:rsidRDefault="007C3296" w:rsidP="007C3296">
      <w:pPr>
        <w:spacing w:after="0"/>
        <w:rPr>
          <w:b/>
          <w:bCs/>
        </w:rPr>
      </w:pPr>
      <w:r>
        <w:rPr>
          <w:b/>
          <w:bCs/>
        </w:rPr>
        <w:t xml:space="preserve">Week 9: </w:t>
      </w:r>
      <w:r w:rsidR="008812B2">
        <w:rPr>
          <w:b/>
          <w:bCs/>
        </w:rPr>
        <w:t xml:space="preserve">Death in ancient </w:t>
      </w:r>
      <w:r w:rsidR="00FE196E">
        <w:rPr>
          <w:b/>
          <w:bCs/>
        </w:rPr>
        <w:t>Syria and Canaan</w:t>
      </w:r>
      <w:r w:rsidR="008812B2">
        <w:rPr>
          <w:b/>
          <w:bCs/>
        </w:rPr>
        <w:t xml:space="preserve"> II</w:t>
      </w:r>
      <w:r w:rsidR="0018063A">
        <w:rPr>
          <w:b/>
          <w:bCs/>
        </w:rPr>
        <w:t>I</w:t>
      </w:r>
    </w:p>
    <w:p w14:paraId="6CD0CCA2" w14:textId="7CE21047" w:rsidR="007C3296" w:rsidRDefault="00382185" w:rsidP="007C3296">
      <w:pPr>
        <w:spacing w:after="0"/>
      </w:pPr>
      <w:r>
        <w:t>22 May</w:t>
      </w:r>
      <w:r w:rsidR="00CB0E5A">
        <w:tab/>
      </w:r>
      <w:r w:rsidR="00CB0E5A" w:rsidRPr="002918DF">
        <w:t>Death in ancient Israel and Judah</w:t>
      </w:r>
      <w:r w:rsidR="00B45351">
        <w:t>, *Jerusalem</w:t>
      </w:r>
    </w:p>
    <w:p w14:paraId="2147550B" w14:textId="325913E9" w:rsidR="007C3296" w:rsidRDefault="007C3296" w:rsidP="007C3296">
      <w:pPr>
        <w:spacing w:after="0"/>
      </w:pPr>
      <w:r>
        <w:tab/>
      </w:r>
      <w:r w:rsidR="00C223CC">
        <w:tab/>
      </w:r>
      <w:r w:rsidR="00FE196E" w:rsidRPr="002330A0">
        <w:rPr>
          <w:i/>
          <w:iCs/>
        </w:rPr>
        <w:t>Required reading</w:t>
      </w:r>
      <w:r w:rsidR="00FE196E">
        <w:t xml:space="preserve">: </w:t>
      </w:r>
      <w:r w:rsidR="00AF3146">
        <w:t>Hays’ “Death and the Dead in Iron II Israel and Judah” pages 147-1</w:t>
      </w:r>
      <w:r w:rsidR="00653AB4">
        <w:t>68, 176-192</w:t>
      </w:r>
      <w:r w:rsidR="00061A52">
        <w:t xml:space="preserve">, and </w:t>
      </w:r>
      <w:r w:rsidR="00061A52" w:rsidRPr="00061A52">
        <w:rPr>
          <w:u w:val="single"/>
        </w:rPr>
        <w:t>Reading Questions</w:t>
      </w:r>
      <w:r w:rsidR="002918DF">
        <w:rPr>
          <w:u w:val="single"/>
        </w:rPr>
        <w:t xml:space="preserve"> 1</w:t>
      </w:r>
      <w:r w:rsidR="00C70F28">
        <w:rPr>
          <w:u w:val="single"/>
        </w:rPr>
        <w:t>6</w:t>
      </w:r>
    </w:p>
    <w:p w14:paraId="7369D09E" w14:textId="53E6246B" w:rsidR="00004D39" w:rsidRPr="00004D39" w:rsidRDefault="00004D39" w:rsidP="00004D39">
      <w:pPr>
        <w:spacing w:after="0"/>
        <w:ind w:left="1440"/>
        <w:rPr>
          <w:u w:val="single"/>
        </w:rPr>
      </w:pPr>
      <w:r w:rsidRPr="00004D39">
        <w:rPr>
          <w:i/>
          <w:iCs/>
          <w:u w:val="single"/>
        </w:rPr>
        <w:t>Grad students</w:t>
      </w:r>
      <w:r w:rsidRPr="00004D39">
        <w:rPr>
          <w:u w:val="single"/>
        </w:rPr>
        <w:t xml:space="preserve">: Reading Review </w:t>
      </w:r>
      <w:r>
        <w:rPr>
          <w:u w:val="single"/>
        </w:rPr>
        <w:t>3</w:t>
      </w:r>
      <w:r w:rsidRPr="00004D39">
        <w:rPr>
          <w:u w:val="single"/>
        </w:rPr>
        <w:t xml:space="preserve"> due today</w:t>
      </w:r>
    </w:p>
    <w:p w14:paraId="489659F1" w14:textId="77777777" w:rsidR="007C3296" w:rsidRDefault="007C3296" w:rsidP="007C3296">
      <w:pPr>
        <w:spacing w:after="0"/>
      </w:pPr>
    </w:p>
    <w:p w14:paraId="4B054F50" w14:textId="49332FAD" w:rsidR="007C3296" w:rsidRDefault="00382185" w:rsidP="007C3296">
      <w:pPr>
        <w:spacing w:after="0"/>
      </w:pPr>
      <w:r>
        <w:t>24 May</w:t>
      </w:r>
      <w:r w:rsidR="0018063A">
        <w:tab/>
        <w:t>Burial Presentations – 8 students</w:t>
      </w:r>
    </w:p>
    <w:p w14:paraId="2264B7BB" w14:textId="6E8B4E12" w:rsidR="007C3296" w:rsidRPr="007D0BB2" w:rsidRDefault="007C3296" w:rsidP="00382185">
      <w:pPr>
        <w:spacing w:after="0"/>
      </w:pPr>
      <w:r>
        <w:tab/>
      </w:r>
    </w:p>
    <w:p w14:paraId="0CE94EF0" w14:textId="77777777" w:rsidR="007C3296" w:rsidRDefault="007C3296" w:rsidP="007C3296">
      <w:pPr>
        <w:spacing w:after="0"/>
      </w:pPr>
    </w:p>
    <w:p w14:paraId="6D860408" w14:textId="128069B5" w:rsidR="007C3296" w:rsidRPr="0090435E" w:rsidRDefault="007C3296" w:rsidP="007C3296">
      <w:pPr>
        <w:spacing w:after="0"/>
        <w:rPr>
          <w:b/>
          <w:bCs/>
        </w:rPr>
      </w:pPr>
      <w:r w:rsidRPr="0090435E">
        <w:rPr>
          <w:b/>
          <w:bCs/>
        </w:rPr>
        <w:t>Week 1</w:t>
      </w:r>
      <w:r>
        <w:rPr>
          <w:b/>
          <w:bCs/>
        </w:rPr>
        <w:t>0</w:t>
      </w:r>
      <w:r w:rsidR="00382185">
        <w:rPr>
          <w:b/>
          <w:bCs/>
        </w:rPr>
        <w:t>:</w:t>
      </w:r>
      <w:r w:rsidR="008812B2">
        <w:rPr>
          <w:b/>
          <w:bCs/>
        </w:rPr>
        <w:t xml:space="preserve"> Conclusions</w:t>
      </w:r>
    </w:p>
    <w:p w14:paraId="4955A59C" w14:textId="09C0C6AC" w:rsidR="007C3296" w:rsidRDefault="00382185" w:rsidP="007C3296">
      <w:pPr>
        <w:spacing w:after="0"/>
      </w:pPr>
      <w:r>
        <w:t>29 May</w:t>
      </w:r>
      <w:r>
        <w:tab/>
        <w:t>[no class, Memorial Day]</w:t>
      </w:r>
    </w:p>
    <w:p w14:paraId="42DB07EA" w14:textId="43927B71" w:rsidR="007C3296" w:rsidRPr="002330A0" w:rsidRDefault="007C3296" w:rsidP="00382185">
      <w:pPr>
        <w:spacing w:after="0"/>
        <w:ind w:left="720" w:hanging="720"/>
      </w:pPr>
      <w:r>
        <w:tab/>
      </w:r>
    </w:p>
    <w:p w14:paraId="67CB8521" w14:textId="77777777" w:rsidR="007C3296" w:rsidRDefault="007C3296" w:rsidP="007C3296">
      <w:pPr>
        <w:spacing w:after="0"/>
      </w:pPr>
    </w:p>
    <w:p w14:paraId="01A57323" w14:textId="7A3B7572" w:rsidR="007C3296" w:rsidRDefault="00382185" w:rsidP="0018063A">
      <w:pPr>
        <w:spacing w:after="0"/>
      </w:pPr>
      <w:r>
        <w:t>31 May</w:t>
      </w:r>
      <w:r w:rsidR="000B395C">
        <w:tab/>
        <w:t>Burial Presentations</w:t>
      </w:r>
      <w:r w:rsidR="0018063A">
        <w:t xml:space="preserve"> – 9 students</w:t>
      </w:r>
      <w:r w:rsidR="007C3296">
        <w:t xml:space="preserve"> </w:t>
      </w:r>
    </w:p>
    <w:p w14:paraId="433EBBD0" w14:textId="77777777" w:rsidR="007C3296" w:rsidRDefault="007C3296" w:rsidP="007C3296">
      <w:pPr>
        <w:spacing w:after="0"/>
      </w:pPr>
    </w:p>
    <w:p w14:paraId="58B7F9F2" w14:textId="77777777" w:rsidR="007C3296" w:rsidRPr="0090435E" w:rsidRDefault="007C3296" w:rsidP="007C3296">
      <w:pPr>
        <w:spacing w:after="0"/>
        <w:rPr>
          <w:b/>
          <w:bCs/>
        </w:rPr>
      </w:pPr>
      <w:r>
        <w:rPr>
          <w:b/>
          <w:bCs/>
        </w:rPr>
        <w:t>Finals Week</w:t>
      </w:r>
    </w:p>
    <w:p w14:paraId="54EC2AA9" w14:textId="77777777" w:rsidR="008A00E9" w:rsidRDefault="0018063A" w:rsidP="007C3296">
      <w:pPr>
        <w:spacing w:after="0"/>
      </w:pPr>
      <w:r>
        <w:t>8 June, Thursday 2:30-4:20</w:t>
      </w:r>
      <w:r>
        <w:tab/>
      </w:r>
      <w:r w:rsidR="000B395C">
        <w:t>Burial Presentations</w:t>
      </w:r>
      <w:r>
        <w:t xml:space="preserve"> – 11 students</w:t>
      </w:r>
    </w:p>
    <w:p w14:paraId="24D352CD" w14:textId="77777777" w:rsidR="002B74B7" w:rsidRDefault="008A00E9" w:rsidP="002B74B7">
      <w:pPr>
        <w:spacing w:after="0"/>
        <w:rPr>
          <w:u w:val="single"/>
        </w:rPr>
      </w:pPr>
      <w:r>
        <w:tab/>
      </w:r>
      <w:r>
        <w:tab/>
      </w:r>
      <w:r w:rsidRPr="008A00E9">
        <w:rPr>
          <w:i/>
          <w:iCs/>
          <w:u w:val="single"/>
        </w:rPr>
        <w:t>Grad students</w:t>
      </w:r>
      <w:r w:rsidRPr="008A00E9">
        <w:rPr>
          <w:u w:val="single"/>
        </w:rPr>
        <w:t>: Final Paper due</w:t>
      </w:r>
    </w:p>
    <w:p w14:paraId="09C120C3" w14:textId="77777777" w:rsidR="002B74B7" w:rsidRDefault="002B74B7" w:rsidP="002B74B7">
      <w:pPr>
        <w:spacing w:after="0"/>
        <w:rPr>
          <w:u w:val="single"/>
        </w:rPr>
      </w:pPr>
    </w:p>
    <w:p w14:paraId="72E98785" w14:textId="77777777" w:rsidR="002B74B7" w:rsidRDefault="002B74B7" w:rsidP="002B74B7">
      <w:pPr>
        <w:spacing w:after="0"/>
        <w:rPr>
          <w:b/>
          <w:bCs/>
          <w:smallCaps/>
        </w:rPr>
      </w:pPr>
    </w:p>
    <w:p w14:paraId="74381FB4" w14:textId="77777777" w:rsidR="00D56AD6" w:rsidRDefault="00D56AD6">
      <w:pPr>
        <w:rPr>
          <w:b/>
          <w:bCs/>
          <w:smallCaps/>
        </w:rPr>
      </w:pPr>
      <w:r>
        <w:rPr>
          <w:b/>
          <w:bCs/>
          <w:smallCaps/>
        </w:rPr>
        <w:br w:type="page"/>
      </w:r>
    </w:p>
    <w:p w14:paraId="0B9EE4DF" w14:textId="62ABCF2F" w:rsidR="007C3296" w:rsidRPr="002B74B7" w:rsidRDefault="002B74B7" w:rsidP="002B74B7">
      <w:pPr>
        <w:spacing w:after="0"/>
        <w:rPr>
          <w:u w:val="single"/>
        </w:rPr>
      </w:pPr>
      <w:r w:rsidRPr="002B74B7">
        <w:rPr>
          <w:b/>
          <w:bCs/>
          <w:smallCaps/>
        </w:rPr>
        <w:lastRenderedPageBreak/>
        <w:t xml:space="preserve">Selected </w:t>
      </w:r>
      <w:r w:rsidR="007C3296" w:rsidRPr="002B74B7">
        <w:rPr>
          <w:rFonts w:cs="Times New Roman"/>
          <w:b/>
          <w:bCs/>
          <w:smallCaps/>
          <w:szCs w:val="24"/>
        </w:rPr>
        <w:t>B</w:t>
      </w:r>
      <w:r w:rsidR="007C3296" w:rsidRPr="008C41AF">
        <w:rPr>
          <w:rFonts w:cs="Times New Roman"/>
          <w:b/>
          <w:bCs/>
          <w:smallCaps/>
          <w:szCs w:val="24"/>
        </w:rPr>
        <w:t>ibliography</w:t>
      </w:r>
    </w:p>
    <w:p w14:paraId="65E71950" w14:textId="77777777" w:rsidR="00004D39" w:rsidRDefault="00004D39" w:rsidP="00004D39">
      <w:pPr>
        <w:spacing w:after="0"/>
      </w:pPr>
    </w:p>
    <w:p w14:paraId="4969526C" w14:textId="0D6B8A7A" w:rsidR="00004D39" w:rsidRDefault="00004D39" w:rsidP="00004D39">
      <w:pPr>
        <w:spacing w:after="0"/>
        <w:rPr>
          <w:i/>
          <w:iCs/>
        </w:rPr>
      </w:pPr>
      <w:r>
        <w:t xml:space="preserve">Allen, </w:t>
      </w:r>
      <w:r w:rsidRPr="009364D7">
        <w:rPr>
          <w:i/>
          <w:iCs/>
        </w:rPr>
        <w:t>The Ancient Egyptian Pyramid Texts</w:t>
      </w:r>
    </w:p>
    <w:p w14:paraId="71AC2C1B" w14:textId="05558369" w:rsidR="00920B92" w:rsidRPr="00920B92" w:rsidRDefault="00920B92" w:rsidP="00004D39">
      <w:pPr>
        <w:spacing w:after="0"/>
      </w:pPr>
      <w:r>
        <w:t>Baadsgaard</w:t>
      </w:r>
      <w:r w:rsidR="00190EB2">
        <w:t>, Monge, and Zettler,</w:t>
      </w:r>
      <w:r>
        <w:t xml:space="preserve"> “Bludgeoned, Burned, and Beautified”</w:t>
      </w:r>
    </w:p>
    <w:p w14:paraId="6D0859E8" w14:textId="19C2F809" w:rsidR="00996768" w:rsidRDefault="00996768" w:rsidP="00004D39">
      <w:pPr>
        <w:spacing w:after="0"/>
      </w:pPr>
      <w:r>
        <w:t xml:space="preserve">Darnell and Darnell, </w:t>
      </w:r>
      <w:r w:rsidRPr="00996768">
        <w:rPr>
          <w:i/>
          <w:iCs/>
        </w:rPr>
        <w:t>The Ancient Egyptian Netherworld Books</w:t>
      </w:r>
    </w:p>
    <w:p w14:paraId="688BCC1A" w14:textId="59FA291E" w:rsidR="00004D39" w:rsidRPr="00004D39" w:rsidRDefault="00004D39" w:rsidP="00004D39">
      <w:pPr>
        <w:spacing w:after="0"/>
        <w:rPr>
          <w:i/>
          <w:iCs/>
        </w:rPr>
      </w:pPr>
      <w:r>
        <w:t>Faulkner et al</w:t>
      </w:r>
      <w:r w:rsidR="00B57412">
        <w:t>.</w:t>
      </w:r>
      <w:r>
        <w:t xml:space="preserve">, </w:t>
      </w:r>
      <w:r w:rsidRPr="00004D39">
        <w:rPr>
          <w:i/>
          <w:iCs/>
        </w:rPr>
        <w:t>The Egyptian Book of the Dead</w:t>
      </w:r>
      <w:r>
        <w:rPr>
          <w:i/>
          <w:iCs/>
        </w:rPr>
        <w:t>:</w:t>
      </w:r>
      <w:r w:rsidRPr="00004D39">
        <w:rPr>
          <w:i/>
          <w:iCs/>
        </w:rPr>
        <w:t xml:space="preserve"> Complete Papyrus of Ani with Integrated Text and Pictures</w:t>
      </w:r>
    </w:p>
    <w:p w14:paraId="5621FD9A" w14:textId="77777777" w:rsidR="00004D39" w:rsidRDefault="00004D39" w:rsidP="00004D39">
      <w:pPr>
        <w:spacing w:after="0"/>
      </w:pPr>
      <w:r>
        <w:t xml:space="preserve">Grajetzki, </w:t>
      </w:r>
      <w:r w:rsidRPr="00004D39">
        <w:rPr>
          <w:i/>
          <w:iCs/>
        </w:rPr>
        <w:t>Burial Customs in Ancient Egypt</w:t>
      </w:r>
    </w:p>
    <w:p w14:paraId="710AD5F5" w14:textId="77777777" w:rsidR="00004D39" w:rsidRDefault="00004D39" w:rsidP="00004D39">
      <w:pPr>
        <w:spacing w:after="0"/>
      </w:pPr>
      <w:r>
        <w:t xml:space="preserve">Hays, </w:t>
      </w:r>
      <w:r w:rsidRPr="00004D39">
        <w:rPr>
          <w:i/>
          <w:iCs/>
        </w:rPr>
        <w:t>Death in the Iron Age II</w:t>
      </w:r>
    </w:p>
    <w:p w14:paraId="47BF101D" w14:textId="47FE3619" w:rsidR="00004D39" w:rsidRDefault="00004D39" w:rsidP="00004D39">
      <w:pPr>
        <w:spacing w:after="0"/>
        <w:rPr>
          <w:i/>
          <w:iCs/>
        </w:rPr>
      </w:pPr>
      <w:r>
        <w:t xml:space="preserve">Ikram, </w:t>
      </w:r>
      <w:r w:rsidRPr="00004D39">
        <w:rPr>
          <w:i/>
          <w:iCs/>
        </w:rPr>
        <w:t>Death and Burial in Ancient Egypt</w:t>
      </w:r>
    </w:p>
    <w:p w14:paraId="7E6E3844" w14:textId="1EC489ED" w:rsidR="00B57412" w:rsidRDefault="00B57412" w:rsidP="00004D39">
      <w:pPr>
        <w:spacing w:after="0"/>
        <w:rPr>
          <w:i/>
          <w:iCs/>
        </w:rPr>
      </w:pPr>
      <w:r>
        <w:t xml:space="preserve">Laneri, ed., </w:t>
      </w:r>
      <w:r w:rsidRPr="00B57412">
        <w:rPr>
          <w:i/>
          <w:iCs/>
        </w:rPr>
        <w:t>Performing Death</w:t>
      </w:r>
    </w:p>
    <w:p w14:paraId="74EC0AF5" w14:textId="618F232A" w:rsidR="00920B92" w:rsidRPr="00920B92" w:rsidRDefault="00920B92" w:rsidP="00004D39">
      <w:pPr>
        <w:spacing w:after="0"/>
      </w:pPr>
      <w:r>
        <w:t xml:space="preserve">Lichtheim, </w:t>
      </w:r>
      <w:r w:rsidRPr="00920B92">
        <w:rPr>
          <w:i/>
          <w:iCs/>
        </w:rPr>
        <w:t>Ancient Egyptian Literature</w:t>
      </w:r>
      <w:r>
        <w:t>, 3 volumes</w:t>
      </w:r>
    </w:p>
    <w:p w14:paraId="07DA08F9" w14:textId="3C9F1981" w:rsidR="00004D39" w:rsidRDefault="00004D39" w:rsidP="00004D39">
      <w:pPr>
        <w:spacing w:after="0"/>
      </w:pPr>
      <w:r w:rsidRPr="00004D39">
        <w:rPr>
          <w:i/>
          <w:iCs/>
        </w:rPr>
        <w:t>Macmillan Encyclopedia of Death and Dying</w:t>
      </w:r>
      <w:r>
        <w:rPr>
          <w:i/>
          <w:iCs/>
        </w:rPr>
        <w:t xml:space="preserve"> </w:t>
      </w:r>
      <w:r>
        <w:t>(</w:t>
      </w:r>
      <w:r w:rsidRPr="00004D39">
        <w:rPr>
          <w:i/>
          <w:iCs/>
        </w:rPr>
        <w:t>MEDD</w:t>
      </w:r>
      <w:r>
        <w:t>)</w:t>
      </w:r>
    </w:p>
    <w:p w14:paraId="3EA232D8" w14:textId="5B8DECC7" w:rsidR="00190EB2" w:rsidRDefault="00190EB2" w:rsidP="00004D39">
      <w:pPr>
        <w:spacing w:after="0"/>
      </w:pPr>
      <w:r>
        <w:t xml:space="preserve">Parker, </w:t>
      </w:r>
      <w:r w:rsidRPr="00190EB2">
        <w:rPr>
          <w:i/>
          <w:iCs/>
        </w:rPr>
        <w:t>Ugaritic Narrative Poetry</w:t>
      </w:r>
    </w:p>
    <w:p w14:paraId="4D1F913E" w14:textId="3184FEFB" w:rsidR="00190EB2" w:rsidRDefault="00190EB2" w:rsidP="00004D39">
      <w:pPr>
        <w:spacing w:after="0"/>
      </w:pPr>
      <w:r>
        <w:t>Pfalzner, “How did they bury the kings of Qatna?”</w:t>
      </w:r>
    </w:p>
    <w:p w14:paraId="1BB9624A" w14:textId="783A2E77" w:rsidR="00920B92" w:rsidRDefault="00920B92" w:rsidP="00004D39">
      <w:pPr>
        <w:spacing w:after="0"/>
      </w:pPr>
      <w:r>
        <w:t>Schwartz, “Memory and its Demolition”</w:t>
      </w:r>
    </w:p>
    <w:p w14:paraId="7E6471A4" w14:textId="386CD8D3" w:rsidR="00920B92" w:rsidRDefault="00920B92" w:rsidP="00004D39">
      <w:pPr>
        <w:spacing w:after="0"/>
      </w:pPr>
      <w:r>
        <w:t>Scurlock, “Ghosts in the Ancient Near East: Weak or Powerful?”</w:t>
      </w:r>
    </w:p>
    <w:p w14:paraId="0195B0A2" w14:textId="4B44F7F8" w:rsidR="00004D39" w:rsidRDefault="00004D39" w:rsidP="00004D39">
      <w:pPr>
        <w:spacing w:after="0"/>
        <w:rPr>
          <w:i/>
          <w:iCs/>
        </w:rPr>
      </w:pPr>
      <w:r>
        <w:t xml:space="preserve">Sonia, </w:t>
      </w:r>
      <w:r w:rsidRPr="00004D39">
        <w:rPr>
          <w:i/>
          <w:iCs/>
        </w:rPr>
        <w:t>Caring for the Dead in Ancient Israel</w:t>
      </w:r>
    </w:p>
    <w:p w14:paraId="654CC036" w14:textId="407211D5" w:rsidR="00920B92" w:rsidRDefault="00920B92" w:rsidP="00004D39">
      <w:pPr>
        <w:spacing w:after="0"/>
      </w:pPr>
      <w:r>
        <w:t xml:space="preserve">Van der Toorn, “Cult of the Ancestors” from </w:t>
      </w:r>
      <w:r w:rsidRPr="00920B92">
        <w:rPr>
          <w:i/>
          <w:iCs/>
        </w:rPr>
        <w:t>Family Religion in Babylonia, Syria, and Israel</w:t>
      </w:r>
    </w:p>
    <w:p w14:paraId="2FE9CCA5" w14:textId="42C6F25D" w:rsidR="00920B92" w:rsidRPr="00920B92" w:rsidRDefault="00920B92" w:rsidP="00004D39">
      <w:pPr>
        <w:spacing w:after="0"/>
      </w:pPr>
      <w:r>
        <w:t>Wegner and Cahail, “Tomb of King Woseribre Senebkay”</w:t>
      </w:r>
    </w:p>
    <w:p w14:paraId="69BEF1E3" w14:textId="77777777" w:rsidR="007C3296" w:rsidRDefault="007C3296" w:rsidP="007C3296">
      <w:pPr>
        <w:spacing w:after="0"/>
        <w:rPr>
          <w:b/>
          <w:bCs/>
        </w:rPr>
      </w:pPr>
    </w:p>
    <w:p w14:paraId="7981D2BA" w14:textId="77777777" w:rsidR="00011555" w:rsidRDefault="00011555"/>
    <w:sectPr w:rsidR="0001155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9B09" w14:textId="77777777" w:rsidR="001C77EB" w:rsidRDefault="001C77EB" w:rsidP="00382185">
      <w:pPr>
        <w:spacing w:after="0" w:line="240" w:lineRule="auto"/>
      </w:pPr>
      <w:r>
        <w:separator/>
      </w:r>
    </w:p>
  </w:endnote>
  <w:endnote w:type="continuationSeparator" w:id="0">
    <w:p w14:paraId="70111035" w14:textId="77777777" w:rsidR="001C77EB" w:rsidRDefault="001C77EB" w:rsidP="0038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87240"/>
      <w:docPartObj>
        <w:docPartGallery w:val="Page Numbers (Bottom of Page)"/>
        <w:docPartUnique/>
      </w:docPartObj>
    </w:sdtPr>
    <w:sdtEndPr>
      <w:rPr>
        <w:noProof/>
      </w:rPr>
    </w:sdtEndPr>
    <w:sdtContent>
      <w:p w14:paraId="262C48BC" w14:textId="7073B5C6" w:rsidR="00382185" w:rsidRDefault="003821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3176F" w14:textId="77777777" w:rsidR="00D14B65" w:rsidRDefault="001C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7EDB" w14:textId="77777777" w:rsidR="001C77EB" w:rsidRDefault="001C77EB" w:rsidP="00382185">
      <w:pPr>
        <w:spacing w:after="0" w:line="240" w:lineRule="auto"/>
      </w:pPr>
      <w:r>
        <w:separator/>
      </w:r>
    </w:p>
  </w:footnote>
  <w:footnote w:type="continuationSeparator" w:id="0">
    <w:p w14:paraId="39FDAC62" w14:textId="77777777" w:rsidR="001C77EB" w:rsidRDefault="001C77EB" w:rsidP="00382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78F"/>
    <w:multiLevelType w:val="hybridMultilevel"/>
    <w:tmpl w:val="3A2029CC"/>
    <w:lvl w:ilvl="0" w:tplc="08E8F3C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82957"/>
    <w:multiLevelType w:val="hybridMultilevel"/>
    <w:tmpl w:val="F0F6B6A4"/>
    <w:lvl w:ilvl="0" w:tplc="04090001">
      <w:start w:val="1"/>
      <w:numFmt w:val="bullet"/>
      <w:lvlText w:val=""/>
      <w:lvlJc w:val="left"/>
      <w:pPr>
        <w:ind w:left="720" w:hanging="360"/>
      </w:pPr>
      <w:rPr>
        <w:rFonts w:ascii="Symbol" w:hAnsi="Symbol" w:hint="default"/>
      </w:rPr>
    </w:lvl>
    <w:lvl w:ilvl="1" w:tplc="60529B7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10467"/>
    <w:multiLevelType w:val="hybridMultilevel"/>
    <w:tmpl w:val="4442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81447"/>
    <w:multiLevelType w:val="hybridMultilevel"/>
    <w:tmpl w:val="2704213C"/>
    <w:lvl w:ilvl="0" w:tplc="AA029E5A">
      <w:start w:val="15"/>
      <w:numFmt w:val="bullet"/>
      <w:lvlText w:val="-"/>
      <w:lvlJc w:val="left"/>
      <w:pPr>
        <w:ind w:left="720" w:hanging="360"/>
      </w:pPr>
      <w:rPr>
        <w:rFonts w:ascii="Times New Roman" w:eastAsia="Calibri" w:hAnsi="Times New Roman" w:cs="Times New Roman" w:hint="default"/>
      </w:rPr>
    </w:lvl>
    <w:lvl w:ilvl="1" w:tplc="60529B7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F1CF9"/>
    <w:multiLevelType w:val="multilevel"/>
    <w:tmpl w:val="7A7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43D04"/>
    <w:multiLevelType w:val="hybridMultilevel"/>
    <w:tmpl w:val="90B847BA"/>
    <w:lvl w:ilvl="0" w:tplc="AA029E5A">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C5E2C"/>
    <w:multiLevelType w:val="hybridMultilevel"/>
    <w:tmpl w:val="78A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91B58"/>
    <w:multiLevelType w:val="hybridMultilevel"/>
    <w:tmpl w:val="590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711AB"/>
    <w:multiLevelType w:val="hybridMultilevel"/>
    <w:tmpl w:val="1F3231FE"/>
    <w:lvl w:ilvl="0" w:tplc="AA029E5A">
      <w:start w:val="1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02073"/>
    <w:multiLevelType w:val="hybridMultilevel"/>
    <w:tmpl w:val="7D189B5C"/>
    <w:lvl w:ilvl="0" w:tplc="C6F6478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96"/>
    <w:rsid w:val="00004D39"/>
    <w:rsid w:val="00011555"/>
    <w:rsid w:val="0004345C"/>
    <w:rsid w:val="000532D2"/>
    <w:rsid w:val="00053FE9"/>
    <w:rsid w:val="00061A52"/>
    <w:rsid w:val="0006783C"/>
    <w:rsid w:val="000B395C"/>
    <w:rsid w:val="000C60E9"/>
    <w:rsid w:val="000E00B7"/>
    <w:rsid w:val="0010109E"/>
    <w:rsid w:val="001536D7"/>
    <w:rsid w:val="00173131"/>
    <w:rsid w:val="0018063A"/>
    <w:rsid w:val="0018331E"/>
    <w:rsid w:val="00187398"/>
    <w:rsid w:val="001900FE"/>
    <w:rsid w:val="00190EB2"/>
    <w:rsid w:val="00192ED6"/>
    <w:rsid w:val="001B2629"/>
    <w:rsid w:val="001C24D8"/>
    <w:rsid w:val="001C397B"/>
    <w:rsid w:val="001C77EB"/>
    <w:rsid w:val="001E2B55"/>
    <w:rsid w:val="0021059F"/>
    <w:rsid w:val="00267AB5"/>
    <w:rsid w:val="002918DF"/>
    <w:rsid w:val="002B74B7"/>
    <w:rsid w:val="0031278C"/>
    <w:rsid w:val="00317589"/>
    <w:rsid w:val="0034333F"/>
    <w:rsid w:val="003739D3"/>
    <w:rsid w:val="00382185"/>
    <w:rsid w:val="00383EB9"/>
    <w:rsid w:val="003A603B"/>
    <w:rsid w:val="003D4D37"/>
    <w:rsid w:val="003E3501"/>
    <w:rsid w:val="00425D58"/>
    <w:rsid w:val="004325C3"/>
    <w:rsid w:val="00460888"/>
    <w:rsid w:val="00462076"/>
    <w:rsid w:val="00476F2C"/>
    <w:rsid w:val="0049197D"/>
    <w:rsid w:val="004A4F14"/>
    <w:rsid w:val="004F17E3"/>
    <w:rsid w:val="00511B2D"/>
    <w:rsid w:val="0051322A"/>
    <w:rsid w:val="005136F5"/>
    <w:rsid w:val="00545EEE"/>
    <w:rsid w:val="005550D9"/>
    <w:rsid w:val="005A40E7"/>
    <w:rsid w:val="005C195C"/>
    <w:rsid w:val="005E2C64"/>
    <w:rsid w:val="005E2DF3"/>
    <w:rsid w:val="00653AB4"/>
    <w:rsid w:val="00667610"/>
    <w:rsid w:val="0071496C"/>
    <w:rsid w:val="00716080"/>
    <w:rsid w:val="007175A5"/>
    <w:rsid w:val="00723AA8"/>
    <w:rsid w:val="00724D0F"/>
    <w:rsid w:val="0075144D"/>
    <w:rsid w:val="007579A9"/>
    <w:rsid w:val="007A7200"/>
    <w:rsid w:val="007C3296"/>
    <w:rsid w:val="007E3879"/>
    <w:rsid w:val="00802236"/>
    <w:rsid w:val="008812B2"/>
    <w:rsid w:val="008A00E9"/>
    <w:rsid w:val="008B1F9D"/>
    <w:rsid w:val="008D45E3"/>
    <w:rsid w:val="008D6798"/>
    <w:rsid w:val="0091239D"/>
    <w:rsid w:val="00920B92"/>
    <w:rsid w:val="009364D7"/>
    <w:rsid w:val="009525DD"/>
    <w:rsid w:val="00996768"/>
    <w:rsid w:val="009A17B9"/>
    <w:rsid w:val="009B3FCD"/>
    <w:rsid w:val="009F040C"/>
    <w:rsid w:val="00A21399"/>
    <w:rsid w:val="00A87ED4"/>
    <w:rsid w:val="00AA2215"/>
    <w:rsid w:val="00AF3146"/>
    <w:rsid w:val="00B029C6"/>
    <w:rsid w:val="00B035C6"/>
    <w:rsid w:val="00B362A8"/>
    <w:rsid w:val="00B452BB"/>
    <w:rsid w:val="00B45351"/>
    <w:rsid w:val="00B57412"/>
    <w:rsid w:val="00B6308B"/>
    <w:rsid w:val="00BA3213"/>
    <w:rsid w:val="00BD421A"/>
    <w:rsid w:val="00BD4230"/>
    <w:rsid w:val="00C223CC"/>
    <w:rsid w:val="00C70F28"/>
    <w:rsid w:val="00C84FD8"/>
    <w:rsid w:val="00CB0E5A"/>
    <w:rsid w:val="00CE613C"/>
    <w:rsid w:val="00D12BFA"/>
    <w:rsid w:val="00D339B3"/>
    <w:rsid w:val="00D51F5E"/>
    <w:rsid w:val="00D53F6B"/>
    <w:rsid w:val="00D56AD6"/>
    <w:rsid w:val="00DD7C9F"/>
    <w:rsid w:val="00DF6428"/>
    <w:rsid w:val="00E33E44"/>
    <w:rsid w:val="00E33F14"/>
    <w:rsid w:val="00E52275"/>
    <w:rsid w:val="00E542E6"/>
    <w:rsid w:val="00E6646E"/>
    <w:rsid w:val="00E70ED7"/>
    <w:rsid w:val="00E77F05"/>
    <w:rsid w:val="00ED3E8D"/>
    <w:rsid w:val="00EF5252"/>
    <w:rsid w:val="00F01C04"/>
    <w:rsid w:val="00F27F60"/>
    <w:rsid w:val="00F76E4C"/>
    <w:rsid w:val="00F82CCE"/>
    <w:rsid w:val="00FC698F"/>
    <w:rsid w:val="00FE196E"/>
    <w:rsid w:val="00FE633F"/>
    <w:rsid w:val="00FF7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84D1"/>
  <w15:chartTrackingRefBased/>
  <w15:docId w15:val="{D76281A7-6CA5-4EFD-9987-A61CF6B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96"/>
    <w:rPr>
      <w:rFonts w:ascii="Times New Roman" w:eastAsia="Calibri" w:hAnsi="Times New Roman" w:cs="Arial"/>
      <w:sz w:val="24"/>
      <w:lang w:bidi="he-IL"/>
    </w:rPr>
  </w:style>
  <w:style w:type="paragraph" w:styleId="Heading1">
    <w:name w:val="heading 1"/>
    <w:basedOn w:val="Normal"/>
    <w:next w:val="Normal"/>
    <w:link w:val="Heading1Char"/>
    <w:uiPriority w:val="9"/>
    <w:qFormat/>
    <w:rsid w:val="007C3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3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329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96"/>
    <w:rPr>
      <w:rFonts w:asciiTheme="majorHAnsi" w:eastAsiaTheme="majorEastAsia" w:hAnsiTheme="majorHAnsi" w:cstheme="majorBidi"/>
      <w:color w:val="2F5496" w:themeColor="accent1" w:themeShade="BF"/>
      <w:sz w:val="32"/>
      <w:szCs w:val="32"/>
      <w:lang w:bidi="he-IL"/>
    </w:rPr>
  </w:style>
  <w:style w:type="character" w:customStyle="1" w:styleId="Heading2Char">
    <w:name w:val="Heading 2 Char"/>
    <w:basedOn w:val="DefaultParagraphFont"/>
    <w:link w:val="Heading2"/>
    <w:uiPriority w:val="9"/>
    <w:rsid w:val="007C3296"/>
    <w:rPr>
      <w:rFonts w:asciiTheme="majorHAnsi" w:eastAsiaTheme="majorEastAsia" w:hAnsiTheme="majorHAnsi" w:cstheme="majorBidi"/>
      <w:color w:val="2F5496" w:themeColor="accent1" w:themeShade="BF"/>
      <w:sz w:val="26"/>
      <w:szCs w:val="26"/>
      <w:lang w:bidi="he-IL"/>
    </w:rPr>
  </w:style>
  <w:style w:type="character" w:customStyle="1" w:styleId="Heading3Char">
    <w:name w:val="Heading 3 Char"/>
    <w:basedOn w:val="DefaultParagraphFont"/>
    <w:link w:val="Heading3"/>
    <w:uiPriority w:val="9"/>
    <w:rsid w:val="007C3296"/>
    <w:rPr>
      <w:rFonts w:asciiTheme="majorHAnsi" w:eastAsiaTheme="majorEastAsia" w:hAnsiTheme="majorHAnsi" w:cstheme="majorBidi"/>
      <w:color w:val="1F3763" w:themeColor="accent1" w:themeShade="7F"/>
      <w:sz w:val="24"/>
      <w:szCs w:val="24"/>
      <w:lang w:bidi="he-IL"/>
    </w:rPr>
  </w:style>
  <w:style w:type="character" w:styleId="Hyperlink">
    <w:name w:val="Hyperlink"/>
    <w:basedOn w:val="DefaultParagraphFont"/>
    <w:uiPriority w:val="99"/>
    <w:unhideWhenUsed/>
    <w:rsid w:val="007C3296"/>
    <w:rPr>
      <w:color w:val="0000FF"/>
      <w:u w:val="single"/>
    </w:rPr>
  </w:style>
  <w:style w:type="paragraph" w:styleId="ListParagraph">
    <w:name w:val="List Paragraph"/>
    <w:basedOn w:val="Normal"/>
    <w:uiPriority w:val="34"/>
    <w:qFormat/>
    <w:rsid w:val="007C3296"/>
    <w:pPr>
      <w:ind w:left="720"/>
      <w:contextualSpacing/>
    </w:pPr>
  </w:style>
  <w:style w:type="paragraph" w:styleId="Footer">
    <w:name w:val="footer"/>
    <w:basedOn w:val="Normal"/>
    <w:link w:val="FooterChar"/>
    <w:uiPriority w:val="99"/>
    <w:unhideWhenUsed/>
    <w:rsid w:val="007C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96"/>
    <w:rPr>
      <w:rFonts w:ascii="Times New Roman" w:eastAsia="Calibri" w:hAnsi="Times New Roman" w:cs="Arial"/>
      <w:sz w:val="24"/>
      <w:lang w:bidi="he-IL"/>
    </w:rPr>
  </w:style>
  <w:style w:type="character" w:customStyle="1" w:styleId="xcontentpasted2">
    <w:name w:val="x_contentpasted2"/>
    <w:basedOn w:val="DefaultParagraphFont"/>
    <w:rsid w:val="007C3296"/>
  </w:style>
  <w:style w:type="paragraph" w:styleId="Header">
    <w:name w:val="header"/>
    <w:basedOn w:val="Normal"/>
    <w:link w:val="HeaderChar"/>
    <w:uiPriority w:val="99"/>
    <w:unhideWhenUsed/>
    <w:rsid w:val="0038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85"/>
    <w:rPr>
      <w:rFonts w:ascii="Times New Roman" w:eastAsia="Calibri" w:hAnsi="Times New Roman" w:cs="Arial"/>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incomplete-grades/" TargetMode="External"/><Relationship Id="rId13" Type="http://schemas.openxmlformats.org/officeDocument/2006/relationships/hyperlink" Target="http://depts.washington.edu/uwdrs/" TargetMode="External"/><Relationship Id="rId18" Type="http://schemas.openxmlformats.org/officeDocument/2006/relationships/hyperlink" Target="https://www.washington.edu/safecamp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ashington.edu/sexualassault/support/advocacy/" TargetMode="External"/><Relationship Id="rId7" Type="http://schemas.openxmlformats.org/officeDocument/2006/relationships/hyperlink" Target="mailto:kmed1@uw.edu" TargetMode="External"/><Relationship Id="rId12" Type="http://schemas.openxmlformats.org/officeDocument/2006/relationships/hyperlink" Target="http://apps.leg.wa.gov/WAC/default.aspx?cite=478-120" TargetMode="External"/><Relationship Id="rId17" Type="http://schemas.openxmlformats.org/officeDocument/2006/relationships/hyperlink" Target="https://www.washington.edu/sexualassault/support/advocacy/" TargetMode="External"/><Relationship Id="rId25" Type="http://schemas.openxmlformats.org/officeDocument/2006/relationships/hyperlink" Target="mailto:naosok@uw.edu" TargetMode="External"/><Relationship Id="rId2" Type="http://schemas.openxmlformats.org/officeDocument/2006/relationships/styles" Target="styles.xml"/><Relationship Id="rId16" Type="http://schemas.openxmlformats.org/officeDocument/2006/relationships/hyperlink" Target="https://uw-s3-cdn.s3.us-west-2.amazonaws.com/wp-content/uploads/sites/181/2021/10/15165536/KYRR-booklet-current-version.pdf" TargetMode="External"/><Relationship Id="rId20" Type="http://schemas.openxmlformats.org/officeDocument/2006/relationships/hyperlink" Target="https://www.washington.edu/titleix/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cssc/for-students/student-code-of-conduct/" TargetMode="External"/><Relationship Id="rId24" Type="http://schemas.openxmlformats.org/officeDocument/2006/relationships/hyperlink" Target="http://wellbeing.uw.edu" TargetMode="External"/><Relationship Id="rId5" Type="http://schemas.openxmlformats.org/officeDocument/2006/relationships/footnotes" Target="footnotes.xml"/><Relationship Id="rId15" Type="http://schemas.openxmlformats.org/officeDocument/2006/relationships/hyperlink" Target="https://www.washington.edu/titleix/policies/" TargetMode="External"/><Relationship Id="rId23" Type="http://schemas.openxmlformats.org/officeDocument/2006/relationships/hyperlink" Target="https://www.washington.edu/titleix/policies/" TargetMode="External"/><Relationship Id="rId28" Type="http://schemas.openxmlformats.org/officeDocument/2006/relationships/theme" Target="theme/theme1.xml"/><Relationship Id="rId10" Type="http://schemas.openxmlformats.org/officeDocument/2006/relationships/hyperlink" Target="mailto:has-center@uw.edu" TargetMode="External"/><Relationship Id="rId19" Type="http://schemas.openxmlformats.org/officeDocument/2006/relationships/hyperlink" Target="https://www.washington.edu/titleix/" TargetMode="External"/><Relationship Id="rId4" Type="http://schemas.openxmlformats.org/officeDocument/2006/relationships/webSettings" Target="webSettings.xml"/><Relationship Id="rId9" Type="http://schemas.openxmlformats.org/officeDocument/2006/relationships/hyperlink" Target="https://hasc.washington.edu/" TargetMode="External"/><Relationship Id="rId14" Type="http://schemas.openxmlformats.org/officeDocument/2006/relationships/hyperlink" Target="https://www.washington.edu/safecampus/" TargetMode="External"/><Relationship Id="rId22" Type="http://schemas.openxmlformats.org/officeDocument/2006/relationships/hyperlink" Target="https://www.washington.edu/titleix/title-ix-officials-required-to-re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13</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33</cp:revision>
  <dcterms:created xsi:type="dcterms:W3CDTF">2023-01-25T06:15:00Z</dcterms:created>
  <dcterms:modified xsi:type="dcterms:W3CDTF">2023-03-27T21:16:00Z</dcterms:modified>
</cp:coreProperties>
</file>